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3D34" w14:textId="77777777" w:rsidR="00696876" w:rsidRPr="00864A34" w:rsidRDefault="00696876" w:rsidP="00696876">
      <w:pPr>
        <w:pStyle w:val="Default"/>
        <w:jc w:val="center"/>
        <w:rPr>
          <w:rFonts w:ascii="Arial" w:hAnsi="Arial" w:cs="Arial"/>
          <w:b/>
          <w:bCs/>
          <w:color w:val="auto"/>
          <w:sz w:val="28"/>
          <w:szCs w:val="28"/>
          <w:lang w:val="en-US"/>
        </w:rPr>
      </w:pPr>
    </w:p>
    <w:p w14:paraId="0980C02C" w14:textId="77777777" w:rsidR="00696876" w:rsidRPr="00864A34" w:rsidRDefault="00696876" w:rsidP="00696876">
      <w:pPr>
        <w:pStyle w:val="Default"/>
        <w:jc w:val="center"/>
        <w:rPr>
          <w:rFonts w:ascii="Arial" w:hAnsi="Arial" w:cs="Arial"/>
          <w:b/>
          <w:bCs/>
          <w:color w:val="auto"/>
          <w:sz w:val="28"/>
          <w:szCs w:val="28"/>
          <w:lang w:val="en-US"/>
        </w:rPr>
      </w:pPr>
    </w:p>
    <w:p w14:paraId="2B590804" w14:textId="77777777" w:rsidR="00696876" w:rsidRPr="00864A34" w:rsidRDefault="00696876" w:rsidP="00696876">
      <w:pPr>
        <w:pStyle w:val="Default"/>
        <w:jc w:val="center"/>
        <w:rPr>
          <w:rFonts w:ascii="Arial" w:hAnsi="Arial" w:cs="Arial"/>
          <w:b/>
          <w:bCs/>
          <w:color w:val="auto"/>
          <w:sz w:val="28"/>
          <w:szCs w:val="28"/>
          <w:lang w:val="en-US"/>
        </w:rPr>
      </w:pPr>
    </w:p>
    <w:p w14:paraId="1195457E" w14:textId="77777777" w:rsidR="00696876" w:rsidRPr="00864A34" w:rsidRDefault="000A4DD2" w:rsidP="00696876">
      <w:pPr>
        <w:pStyle w:val="Default"/>
        <w:jc w:val="center"/>
        <w:rPr>
          <w:rFonts w:ascii="Arial" w:hAnsi="Arial" w:cs="Arial"/>
          <w:b/>
          <w:bCs/>
          <w:color w:val="auto"/>
          <w:sz w:val="28"/>
          <w:szCs w:val="28"/>
          <w:lang w:val="en-US"/>
        </w:rPr>
      </w:pPr>
      <w:r w:rsidRPr="00864A34">
        <w:rPr>
          <w:rFonts w:ascii="Arial" w:hAnsi="Arial" w:cs="Arial"/>
          <w:noProof/>
          <w:lang w:val="en-US"/>
        </w:rPr>
        <mc:AlternateContent>
          <mc:Choice Requires="wps">
            <w:drawing>
              <wp:anchor distT="0" distB="0" distL="114300" distR="114300" simplePos="0" relativeHeight="251651072" behindDoc="0" locked="0" layoutInCell="1" allowOverlap="1" wp14:anchorId="51959E58" wp14:editId="73E87786">
                <wp:simplePos x="0" y="0"/>
                <wp:positionH relativeFrom="page">
                  <wp:align>left</wp:align>
                </wp:positionH>
                <wp:positionV relativeFrom="paragraph">
                  <wp:posOffset>156135</wp:posOffset>
                </wp:positionV>
                <wp:extent cx="7953375" cy="4037845"/>
                <wp:effectExtent l="0" t="0" r="9525" b="12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3375" cy="4037845"/>
                        </a:xfrm>
                        <a:prstGeom prst="rect">
                          <a:avLst/>
                        </a:prstGeom>
                        <a:solidFill>
                          <a:schemeClr val="bg1"/>
                        </a:solidFill>
                        <a:ln>
                          <a:noFill/>
                        </a:ln>
                        <a:extLst/>
                      </wps:spPr>
                      <wps:txbx>
                        <w:txbxContent>
                          <w:p w14:paraId="0C9317CF" w14:textId="77777777" w:rsidR="00467A6F" w:rsidRPr="004A3900" w:rsidRDefault="00467A6F" w:rsidP="000A4DD2">
                            <w:pPr>
                              <w:pStyle w:val="CoverSubtitle"/>
                              <w:tabs>
                                <w:tab w:val="left" w:pos="10080"/>
                              </w:tabs>
                              <w:ind w:right="1870"/>
                              <w:jc w:val="left"/>
                              <w:rPr>
                                <w:rFonts w:ascii="Arial Bold" w:hAnsi="Arial Bold" w:cs="Arial"/>
                                <w:b/>
                                <w:caps/>
                                <w:color w:val="002776" w:themeColor="accent1"/>
                                <w:sz w:val="52"/>
                                <w:szCs w:val="56"/>
                              </w:rPr>
                            </w:pPr>
                            <w:r w:rsidRPr="004A3900">
                              <w:rPr>
                                <w:rFonts w:ascii="Arial Bold" w:hAnsi="Arial Bold" w:cs="Arial"/>
                                <w:b/>
                                <w:caps/>
                                <w:color w:val="002776" w:themeColor="accent1"/>
                                <w:sz w:val="52"/>
                                <w:szCs w:val="56"/>
                              </w:rPr>
                              <w:t xml:space="preserve">Technical Support for Continued Support on Regional Market Framework Implementation to </w:t>
                            </w:r>
                            <w:r>
                              <w:rPr>
                                <w:rFonts w:ascii="Arial Bold" w:hAnsi="Arial Bold" w:cs="Arial"/>
                                <w:b/>
                                <w:caps/>
                                <w:color w:val="002776" w:themeColor="accent1"/>
                                <w:sz w:val="52"/>
                                <w:szCs w:val="56"/>
                              </w:rPr>
                              <w:t>RERA</w:t>
                            </w:r>
                          </w:p>
                          <w:p w14:paraId="020504D8" w14:textId="77777777" w:rsidR="00467A6F" w:rsidRPr="00464528" w:rsidRDefault="00467A6F" w:rsidP="00696876">
                            <w:pPr>
                              <w:pStyle w:val="CoverSubtitle"/>
                              <w:tabs>
                                <w:tab w:val="left" w:pos="10080"/>
                              </w:tabs>
                              <w:spacing w:before="240"/>
                              <w:ind w:right="1870"/>
                              <w:jc w:val="left"/>
                              <w:rPr>
                                <w:rFonts w:cs="Arial"/>
                                <w:b/>
                                <w:color w:val="002776" w:themeColor="accent1"/>
                                <w:sz w:val="52"/>
                                <w:szCs w:val="56"/>
                              </w:rPr>
                            </w:pPr>
                          </w:p>
                          <w:p w14:paraId="15977F21" w14:textId="77777777" w:rsidR="00467A6F" w:rsidRPr="00464528" w:rsidRDefault="00467A6F" w:rsidP="00696876">
                            <w:pPr>
                              <w:pStyle w:val="CoverSubtitle"/>
                              <w:spacing w:before="120"/>
                              <w:ind w:right="250"/>
                              <w:jc w:val="left"/>
                              <w:rPr>
                                <w:rFonts w:cs="Arial"/>
                                <w:color w:val="92D400" w:themeColor="accent2"/>
                                <w:sz w:val="56"/>
                                <w:szCs w:val="44"/>
                              </w:rPr>
                            </w:pPr>
                            <w:r w:rsidRPr="000A4DD2">
                              <w:rPr>
                                <w:rFonts w:cs="Arial"/>
                                <w:color w:val="92D400" w:themeColor="accent2"/>
                                <w:sz w:val="56"/>
                                <w:szCs w:val="44"/>
                              </w:rPr>
                              <w:t>Transmission Pricing Methodology</w:t>
                            </w:r>
                          </w:p>
                        </w:txbxContent>
                      </wps:txbx>
                      <wps:bodyPr rot="0" vert="horz" wrap="square" lIns="91440" tIns="45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59E58" id="_x0000_t202" coordsize="21600,21600" o:spt="202" path="m,l,21600r21600,l21600,xe">
                <v:stroke joinstyle="miter"/>
                <v:path gradientshapeok="t" o:connecttype="rect"/>
              </v:shapetype>
              <v:shape id="Text Box 3" o:spid="_x0000_s1026" type="#_x0000_t202" style="position:absolute;left:0;text-align:left;margin-left:0;margin-top:12.3pt;width:626.25pt;height:317.9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" fillcolor="white [3212]" stroked="f">
                <v:textbox inset=",36pt">
                  <w:txbxContent>
                    <w:p w14:paraId="0C9317CF" w14:textId="77777777" w:rsidR="00467A6F" w:rsidRPr="004A3900" w:rsidRDefault="00467A6F" w:rsidP="000A4DD2">
                      <w:pPr>
                        <w:pStyle w:val="CoverSubtitle"/>
                        <w:tabs>
                          <w:tab w:val="left" w:pos="10080"/>
                        </w:tabs>
                        <w:ind w:right="1870"/>
                        <w:jc w:val="left"/>
                        <w:rPr>
                          <w:rFonts w:ascii="Arial Bold" w:hAnsi="Arial Bold" w:cs="Arial"/>
                          <w:b/>
                          <w:caps/>
                          <w:color w:val="002776" w:themeColor="accent1"/>
                          <w:sz w:val="52"/>
                          <w:szCs w:val="56"/>
                        </w:rPr>
                      </w:pPr>
                      <w:r w:rsidRPr="004A3900">
                        <w:rPr>
                          <w:rFonts w:ascii="Arial Bold" w:hAnsi="Arial Bold" w:cs="Arial"/>
                          <w:b/>
                          <w:caps/>
                          <w:color w:val="002776" w:themeColor="accent1"/>
                          <w:sz w:val="52"/>
                          <w:szCs w:val="56"/>
                        </w:rPr>
                        <w:t xml:space="preserve">Technical Support for Continued Support on Regional Market Framework Implementation to </w:t>
                      </w:r>
                      <w:r>
                        <w:rPr>
                          <w:rFonts w:ascii="Arial Bold" w:hAnsi="Arial Bold" w:cs="Arial"/>
                          <w:b/>
                          <w:caps/>
                          <w:color w:val="002776" w:themeColor="accent1"/>
                          <w:sz w:val="52"/>
                          <w:szCs w:val="56"/>
                        </w:rPr>
                        <w:t>RERA</w:t>
                      </w:r>
                    </w:p>
                    <w:p w14:paraId="020504D8" w14:textId="77777777" w:rsidR="00467A6F" w:rsidRPr="00464528" w:rsidRDefault="00467A6F" w:rsidP="00696876">
                      <w:pPr>
                        <w:pStyle w:val="CoverSubtitle"/>
                        <w:tabs>
                          <w:tab w:val="left" w:pos="10080"/>
                        </w:tabs>
                        <w:spacing w:before="240"/>
                        <w:ind w:right="1870"/>
                        <w:jc w:val="left"/>
                        <w:rPr>
                          <w:rFonts w:cs="Arial"/>
                          <w:b/>
                          <w:color w:val="002776" w:themeColor="accent1"/>
                          <w:sz w:val="52"/>
                          <w:szCs w:val="56"/>
                        </w:rPr>
                      </w:pPr>
                    </w:p>
                    <w:p w14:paraId="15977F21" w14:textId="77777777" w:rsidR="00467A6F" w:rsidRPr="00464528" w:rsidRDefault="00467A6F" w:rsidP="00696876">
                      <w:pPr>
                        <w:pStyle w:val="CoverSubtitle"/>
                        <w:spacing w:before="120"/>
                        <w:ind w:right="250"/>
                        <w:jc w:val="left"/>
                        <w:rPr>
                          <w:rFonts w:cs="Arial"/>
                          <w:color w:val="92D400" w:themeColor="accent2"/>
                          <w:sz w:val="56"/>
                          <w:szCs w:val="44"/>
                        </w:rPr>
                      </w:pPr>
                      <w:r w:rsidRPr="000A4DD2">
                        <w:rPr>
                          <w:rFonts w:cs="Arial"/>
                          <w:color w:val="92D400" w:themeColor="accent2"/>
                          <w:sz w:val="56"/>
                          <w:szCs w:val="44"/>
                        </w:rPr>
                        <w:t>Transmission Pricing Methodology</w:t>
                      </w:r>
                    </w:p>
                  </w:txbxContent>
                </v:textbox>
                <w10:wrap anchorx="page"/>
              </v:shape>
            </w:pict>
          </mc:Fallback>
        </mc:AlternateContent>
      </w:r>
    </w:p>
    <w:p w14:paraId="2697A38E" w14:textId="77777777" w:rsidR="00696876" w:rsidRPr="00864A34" w:rsidRDefault="00696876" w:rsidP="00696876">
      <w:pPr>
        <w:pStyle w:val="Default"/>
        <w:jc w:val="center"/>
        <w:rPr>
          <w:rFonts w:ascii="Arial" w:hAnsi="Arial" w:cs="Arial"/>
          <w:b/>
          <w:bCs/>
          <w:color w:val="auto"/>
          <w:sz w:val="28"/>
          <w:szCs w:val="28"/>
          <w:lang w:val="en-US"/>
        </w:rPr>
      </w:pPr>
    </w:p>
    <w:p w14:paraId="226A3B94" w14:textId="77777777" w:rsidR="00696876" w:rsidRPr="00864A34" w:rsidRDefault="00696876" w:rsidP="00696876">
      <w:pPr>
        <w:pStyle w:val="Default"/>
        <w:jc w:val="center"/>
        <w:rPr>
          <w:rFonts w:ascii="Arial" w:hAnsi="Arial" w:cs="Arial"/>
          <w:b/>
          <w:bCs/>
          <w:color w:val="auto"/>
          <w:sz w:val="28"/>
          <w:szCs w:val="28"/>
          <w:lang w:val="en-US"/>
        </w:rPr>
      </w:pPr>
    </w:p>
    <w:p w14:paraId="607C710F" w14:textId="77777777" w:rsidR="00696876" w:rsidRPr="00864A34" w:rsidRDefault="00696876" w:rsidP="00696876">
      <w:pPr>
        <w:pStyle w:val="Default"/>
        <w:jc w:val="center"/>
        <w:rPr>
          <w:rFonts w:ascii="Arial" w:hAnsi="Arial" w:cs="Arial"/>
          <w:b/>
          <w:bCs/>
          <w:color w:val="auto"/>
          <w:sz w:val="28"/>
          <w:szCs w:val="28"/>
          <w:lang w:val="en-US"/>
        </w:rPr>
      </w:pPr>
    </w:p>
    <w:p w14:paraId="210A338E" w14:textId="77777777" w:rsidR="00696876" w:rsidRPr="00864A34" w:rsidRDefault="00696876" w:rsidP="00696876">
      <w:pPr>
        <w:pStyle w:val="Default"/>
        <w:jc w:val="center"/>
        <w:rPr>
          <w:rFonts w:ascii="Arial" w:hAnsi="Arial" w:cs="Arial"/>
          <w:b/>
          <w:bCs/>
          <w:color w:val="auto"/>
          <w:sz w:val="28"/>
          <w:szCs w:val="28"/>
          <w:lang w:val="en-US"/>
        </w:rPr>
      </w:pPr>
    </w:p>
    <w:p w14:paraId="1F687FAB" w14:textId="77777777" w:rsidR="00696876" w:rsidRPr="00864A34" w:rsidRDefault="00696876" w:rsidP="00696876">
      <w:pPr>
        <w:pStyle w:val="Default"/>
        <w:jc w:val="center"/>
        <w:rPr>
          <w:rFonts w:ascii="Arial" w:hAnsi="Arial" w:cs="Arial"/>
          <w:b/>
          <w:bCs/>
          <w:color w:val="auto"/>
          <w:sz w:val="32"/>
          <w:szCs w:val="28"/>
          <w:lang w:val="en-US"/>
        </w:rPr>
      </w:pPr>
    </w:p>
    <w:p w14:paraId="06F675A0" w14:textId="77777777" w:rsidR="00696876" w:rsidRPr="00864A34" w:rsidRDefault="00696876" w:rsidP="00696876">
      <w:pPr>
        <w:pStyle w:val="Default"/>
        <w:jc w:val="center"/>
        <w:rPr>
          <w:rFonts w:ascii="Arial" w:hAnsi="Arial" w:cs="Arial"/>
          <w:b/>
          <w:bCs/>
          <w:color w:val="auto"/>
          <w:sz w:val="32"/>
          <w:szCs w:val="28"/>
          <w:lang w:val="en-US"/>
        </w:rPr>
      </w:pPr>
    </w:p>
    <w:p w14:paraId="380B3EF0" w14:textId="77777777" w:rsidR="00696876" w:rsidRPr="00864A34" w:rsidRDefault="00696876" w:rsidP="00696876">
      <w:pPr>
        <w:pStyle w:val="Default"/>
        <w:jc w:val="center"/>
        <w:rPr>
          <w:rFonts w:ascii="Arial" w:hAnsi="Arial" w:cs="Arial"/>
          <w:b/>
          <w:bCs/>
          <w:color w:val="auto"/>
          <w:sz w:val="32"/>
          <w:szCs w:val="28"/>
          <w:lang w:val="en-US"/>
        </w:rPr>
      </w:pPr>
    </w:p>
    <w:p w14:paraId="227A3F6D" w14:textId="77777777" w:rsidR="00696876" w:rsidRPr="00864A34" w:rsidRDefault="00696876" w:rsidP="00696876">
      <w:pPr>
        <w:pStyle w:val="Default"/>
        <w:jc w:val="center"/>
        <w:rPr>
          <w:rFonts w:ascii="Arial" w:hAnsi="Arial" w:cs="Arial"/>
          <w:b/>
          <w:bCs/>
          <w:color w:val="auto"/>
          <w:sz w:val="32"/>
          <w:szCs w:val="28"/>
          <w:lang w:val="en-US"/>
        </w:rPr>
      </w:pPr>
    </w:p>
    <w:p w14:paraId="46E001F4" w14:textId="77777777" w:rsidR="00696876" w:rsidRPr="00864A34" w:rsidRDefault="00696876" w:rsidP="00696876">
      <w:pPr>
        <w:pStyle w:val="Default"/>
        <w:jc w:val="center"/>
        <w:rPr>
          <w:rFonts w:ascii="Arial" w:hAnsi="Arial" w:cs="Arial"/>
          <w:color w:val="auto"/>
          <w:lang w:val="en-US"/>
        </w:rPr>
      </w:pPr>
    </w:p>
    <w:p w14:paraId="1AB7C0D0" w14:textId="77777777" w:rsidR="00696876" w:rsidRPr="00864A34" w:rsidRDefault="00696876" w:rsidP="00696876">
      <w:pPr>
        <w:pStyle w:val="Default"/>
        <w:jc w:val="center"/>
        <w:rPr>
          <w:rFonts w:ascii="Arial" w:hAnsi="Arial" w:cs="Arial"/>
          <w:color w:val="auto"/>
          <w:lang w:val="en-US"/>
        </w:rPr>
      </w:pPr>
    </w:p>
    <w:p w14:paraId="166CB6DE" w14:textId="77777777" w:rsidR="00696876" w:rsidRPr="00864A34" w:rsidRDefault="00696876" w:rsidP="00696876">
      <w:pPr>
        <w:pStyle w:val="Default"/>
        <w:jc w:val="center"/>
        <w:rPr>
          <w:rFonts w:ascii="Arial" w:hAnsi="Arial" w:cs="Arial"/>
          <w:color w:val="auto"/>
          <w:lang w:val="en-US"/>
        </w:rPr>
      </w:pPr>
    </w:p>
    <w:p w14:paraId="63B02B2D" w14:textId="77777777" w:rsidR="00696876" w:rsidRPr="00864A34" w:rsidRDefault="00696876" w:rsidP="00696876">
      <w:pPr>
        <w:pStyle w:val="Default"/>
        <w:jc w:val="center"/>
        <w:rPr>
          <w:rFonts w:ascii="Arial" w:hAnsi="Arial" w:cs="Arial"/>
          <w:color w:val="auto"/>
          <w:lang w:val="en-US"/>
        </w:rPr>
      </w:pPr>
    </w:p>
    <w:p w14:paraId="787556F4" w14:textId="77777777" w:rsidR="00696876" w:rsidRPr="00864A34" w:rsidRDefault="00696876" w:rsidP="00696876">
      <w:pPr>
        <w:pStyle w:val="Default"/>
        <w:jc w:val="center"/>
        <w:rPr>
          <w:rFonts w:ascii="Arial" w:hAnsi="Arial" w:cs="Arial"/>
          <w:color w:val="auto"/>
          <w:lang w:val="en-US"/>
        </w:rPr>
      </w:pPr>
    </w:p>
    <w:p w14:paraId="4895C746" w14:textId="77777777" w:rsidR="00696876" w:rsidRPr="00864A34" w:rsidRDefault="00696876" w:rsidP="00696876">
      <w:pPr>
        <w:pStyle w:val="Default"/>
        <w:jc w:val="center"/>
        <w:rPr>
          <w:rFonts w:ascii="Arial" w:hAnsi="Arial" w:cs="Arial"/>
          <w:color w:val="auto"/>
          <w:lang w:val="en-US"/>
        </w:rPr>
      </w:pPr>
    </w:p>
    <w:p w14:paraId="350AB35A" w14:textId="77777777" w:rsidR="00696876" w:rsidRPr="00864A34" w:rsidRDefault="00696876" w:rsidP="00696876">
      <w:pPr>
        <w:pStyle w:val="Default"/>
        <w:jc w:val="center"/>
        <w:rPr>
          <w:rFonts w:ascii="Arial" w:hAnsi="Arial" w:cs="Arial"/>
          <w:color w:val="auto"/>
          <w:lang w:val="en-US"/>
        </w:rPr>
      </w:pPr>
    </w:p>
    <w:p w14:paraId="768F6540" w14:textId="77777777" w:rsidR="00696876" w:rsidRPr="00864A34" w:rsidRDefault="00696876" w:rsidP="00696876">
      <w:pPr>
        <w:pStyle w:val="Default"/>
        <w:jc w:val="center"/>
        <w:rPr>
          <w:rFonts w:ascii="Arial" w:hAnsi="Arial" w:cs="Arial"/>
          <w:color w:val="auto"/>
          <w:lang w:val="en-US"/>
        </w:rPr>
      </w:pPr>
    </w:p>
    <w:p w14:paraId="762C351E" w14:textId="77777777" w:rsidR="00696876" w:rsidRPr="00864A34" w:rsidRDefault="00696876" w:rsidP="00696876">
      <w:pPr>
        <w:pStyle w:val="Default"/>
        <w:jc w:val="center"/>
        <w:rPr>
          <w:rFonts w:ascii="Arial" w:hAnsi="Arial" w:cs="Arial"/>
          <w:color w:val="auto"/>
          <w:lang w:val="en-US"/>
        </w:rPr>
      </w:pPr>
    </w:p>
    <w:p w14:paraId="18FEBD42" w14:textId="77777777" w:rsidR="00696876" w:rsidRPr="00864A34" w:rsidRDefault="00696876" w:rsidP="00696876">
      <w:pPr>
        <w:pStyle w:val="Default"/>
        <w:jc w:val="center"/>
        <w:rPr>
          <w:rFonts w:ascii="Arial" w:hAnsi="Arial" w:cs="Arial"/>
          <w:color w:val="auto"/>
          <w:lang w:val="en-US"/>
        </w:rPr>
      </w:pPr>
    </w:p>
    <w:p w14:paraId="7FAF3C1A" w14:textId="77777777" w:rsidR="00696876" w:rsidRPr="00864A34" w:rsidRDefault="00696876" w:rsidP="00551F71">
      <w:pPr>
        <w:pStyle w:val="Default"/>
        <w:rPr>
          <w:rFonts w:ascii="Arial" w:hAnsi="Arial" w:cs="Arial"/>
          <w:color w:val="auto"/>
          <w:lang w:val="en-US"/>
        </w:rPr>
      </w:pPr>
    </w:p>
    <w:p w14:paraId="00A1BB51" w14:textId="77777777" w:rsidR="009D6C32" w:rsidRPr="00864A34" w:rsidRDefault="009D6C32" w:rsidP="00696876">
      <w:pPr>
        <w:pStyle w:val="Default"/>
        <w:jc w:val="center"/>
        <w:rPr>
          <w:rFonts w:ascii="Arial" w:hAnsi="Arial" w:cs="Arial"/>
          <w:color w:val="auto"/>
          <w:lang w:val="en-US"/>
        </w:rPr>
      </w:pPr>
    </w:p>
    <w:p w14:paraId="579BCE4B" w14:textId="77777777" w:rsidR="009D6C32" w:rsidRPr="00864A34" w:rsidRDefault="009D6C32" w:rsidP="00696876">
      <w:pPr>
        <w:pStyle w:val="Default"/>
        <w:jc w:val="center"/>
        <w:rPr>
          <w:rFonts w:ascii="Arial" w:hAnsi="Arial" w:cs="Arial"/>
          <w:color w:val="auto"/>
          <w:sz w:val="22"/>
          <w:lang w:val="en-US"/>
        </w:rPr>
      </w:pPr>
    </w:p>
    <w:p w14:paraId="0F45F21C" w14:textId="77777777" w:rsidR="00696876" w:rsidRPr="00864A34" w:rsidRDefault="00696876" w:rsidP="00A22FD1">
      <w:pPr>
        <w:pStyle w:val="CoverDate"/>
        <w:shd w:val="clear" w:color="auto" w:fill="auto"/>
        <w:spacing w:before="0" w:line="280" w:lineRule="atLeast"/>
        <w:ind w:left="990"/>
        <w:rPr>
          <w:b/>
          <w:bCs/>
          <w:noProof/>
          <w:color w:val="92D400" w:themeColor="accent2"/>
          <w:sz w:val="22"/>
          <w:szCs w:val="24"/>
        </w:rPr>
      </w:pPr>
      <w:r w:rsidRPr="00864A34">
        <w:rPr>
          <w:b/>
          <w:bCs/>
          <w:noProof/>
          <w:color w:val="92D400" w:themeColor="accent2"/>
          <w:sz w:val="22"/>
          <w:szCs w:val="24"/>
        </w:rPr>
        <w:t>Prepared for:</w:t>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
          <w:bCs/>
          <w:noProof/>
          <w:color w:val="92D400" w:themeColor="accent2"/>
          <w:sz w:val="22"/>
          <w:szCs w:val="24"/>
        </w:rPr>
        <w:t>Prepared by:</w:t>
      </w:r>
    </w:p>
    <w:p w14:paraId="0965D978" w14:textId="77777777"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Office of Energy Programs</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Deloitte Financial Advisory Services, LLP </w:t>
      </w:r>
    </w:p>
    <w:p w14:paraId="23547409" w14:textId="77777777" w:rsidR="00696876" w:rsidRPr="00864A34" w:rsidRDefault="00696876" w:rsidP="00A22FD1">
      <w:pPr>
        <w:pStyle w:val="CoverDate"/>
        <w:shd w:val="clear" w:color="auto" w:fill="auto"/>
        <w:spacing w:before="0" w:line="280" w:lineRule="atLeast"/>
        <w:ind w:left="990"/>
        <w:rPr>
          <w:bCs/>
          <w:color w:val="002060"/>
          <w:sz w:val="22"/>
          <w:szCs w:val="24"/>
        </w:rPr>
      </w:pPr>
      <w:r w:rsidRPr="00864A34">
        <w:rPr>
          <w:bCs/>
          <w:color w:val="002060"/>
          <w:sz w:val="22"/>
          <w:szCs w:val="24"/>
        </w:rPr>
        <w:t xml:space="preserve">Bureau of Energy </w:t>
      </w:r>
      <w:r w:rsidR="00A22FD1" w:rsidRPr="00864A34">
        <w:rPr>
          <w:bCs/>
          <w:color w:val="002060"/>
          <w:sz w:val="22"/>
          <w:szCs w:val="24"/>
        </w:rPr>
        <w:t>Resources</w:t>
      </w:r>
      <w:r w:rsidR="00A22FD1" w:rsidRPr="00864A34">
        <w:rPr>
          <w:bCs/>
          <w:color w:val="002060"/>
          <w:sz w:val="22"/>
          <w:szCs w:val="24"/>
        </w:rPr>
        <w:tab/>
      </w:r>
      <w:r w:rsidR="00A22FD1" w:rsidRPr="00864A34">
        <w:rPr>
          <w:bCs/>
          <w:color w:val="002060"/>
          <w:sz w:val="22"/>
          <w:szCs w:val="24"/>
        </w:rPr>
        <w:tab/>
      </w:r>
      <w:r w:rsidRPr="00864A34">
        <w:rPr>
          <w:bCs/>
          <w:color w:val="002060"/>
          <w:sz w:val="22"/>
          <w:szCs w:val="24"/>
        </w:rPr>
        <w:t>1919 N. Lynn Street</w:t>
      </w:r>
    </w:p>
    <w:p w14:paraId="79F453E2" w14:textId="77777777"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U.S. Department of State</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Arlington, VA 22209 </w:t>
      </w:r>
    </w:p>
    <w:p w14:paraId="2D430468" w14:textId="77777777" w:rsidR="00A22FD1" w:rsidRPr="00864A34" w:rsidRDefault="00A22FD1" w:rsidP="00A22FD1">
      <w:pPr>
        <w:pStyle w:val="Default"/>
        <w:rPr>
          <w:rFonts w:ascii="Arial" w:hAnsi="Arial" w:cs="Arial"/>
          <w:color w:val="auto"/>
          <w:lang w:val="en-US"/>
        </w:rPr>
      </w:pPr>
    </w:p>
    <w:p w14:paraId="7F0CD4A2" w14:textId="77777777" w:rsidR="00A22FD1" w:rsidRPr="00864A34" w:rsidRDefault="00A22FD1" w:rsidP="00A22FD1">
      <w:pPr>
        <w:pStyle w:val="Default"/>
        <w:rPr>
          <w:rFonts w:ascii="Arial" w:hAnsi="Arial" w:cs="Arial"/>
          <w:color w:val="auto"/>
          <w:lang w:val="en-US"/>
        </w:rPr>
      </w:pPr>
    </w:p>
    <w:p w14:paraId="2A46364D" w14:textId="77777777" w:rsidR="00A22FD1" w:rsidRPr="00864A34" w:rsidRDefault="00A22FD1" w:rsidP="00A22FD1">
      <w:pPr>
        <w:pStyle w:val="Default"/>
        <w:rPr>
          <w:rFonts w:ascii="Arial" w:hAnsi="Arial" w:cs="Arial"/>
          <w:color w:val="auto"/>
          <w:lang w:val="en-US"/>
        </w:rPr>
      </w:pPr>
    </w:p>
    <w:p w14:paraId="629DEDBB" w14:textId="77777777" w:rsidR="00A22FD1" w:rsidRPr="00864A34" w:rsidRDefault="00A22FD1" w:rsidP="00A22FD1">
      <w:pPr>
        <w:pStyle w:val="Default"/>
        <w:rPr>
          <w:rFonts w:ascii="Arial" w:hAnsi="Arial" w:cs="Arial"/>
          <w:color w:val="auto"/>
          <w:lang w:val="en-US"/>
        </w:rPr>
      </w:pPr>
    </w:p>
    <w:p w14:paraId="5FB5FCE4" w14:textId="77777777" w:rsidR="00A22FD1" w:rsidRPr="00864A34" w:rsidRDefault="00A22FD1" w:rsidP="00A22FD1">
      <w:pPr>
        <w:pStyle w:val="Default"/>
        <w:rPr>
          <w:rFonts w:ascii="Arial" w:hAnsi="Arial" w:cs="Arial"/>
          <w:color w:val="auto"/>
          <w:lang w:val="en-US"/>
        </w:rPr>
      </w:pPr>
    </w:p>
    <w:p w14:paraId="63B3AE7D" w14:textId="77777777" w:rsidR="00A22FD1" w:rsidRPr="00864A34" w:rsidRDefault="00A22FD1" w:rsidP="00A22FD1">
      <w:pPr>
        <w:pStyle w:val="Default"/>
        <w:rPr>
          <w:rFonts w:ascii="Arial" w:hAnsi="Arial" w:cs="Arial"/>
          <w:color w:val="auto"/>
          <w:lang w:val="en-US"/>
        </w:rPr>
      </w:pPr>
    </w:p>
    <w:p w14:paraId="7F39CE51" w14:textId="737CE1ED" w:rsidR="00A22FD1" w:rsidRPr="00864A34" w:rsidRDefault="00E63479" w:rsidP="00A22FD1">
      <w:pPr>
        <w:rPr>
          <w:rFonts w:cs="Arial"/>
          <w:b/>
        </w:rPr>
      </w:pPr>
      <w:r w:rsidRPr="00864A34">
        <w:rPr>
          <w:rFonts w:cs="Arial"/>
          <w:noProof/>
          <w:sz w:val="20"/>
          <w:lang w:eastAsia="en-US"/>
        </w:rPr>
        <mc:AlternateContent>
          <mc:Choice Requires="wps">
            <w:drawing>
              <wp:anchor distT="0" distB="0" distL="114300" distR="114300" simplePos="0" relativeHeight="251659264" behindDoc="1" locked="0" layoutInCell="1" allowOverlap="1" wp14:anchorId="383E3C8D" wp14:editId="46A5C437">
                <wp:simplePos x="0" y="0"/>
                <wp:positionH relativeFrom="margin">
                  <wp:posOffset>-294640</wp:posOffset>
                </wp:positionH>
                <wp:positionV relativeFrom="paragraph">
                  <wp:posOffset>360680</wp:posOffset>
                </wp:positionV>
                <wp:extent cx="6534150" cy="554355"/>
                <wp:effectExtent l="0" t="0" r="0" b="0"/>
                <wp:wrapTight wrapText="bothSides">
                  <wp:wrapPolygon edited="0">
                    <wp:start x="0" y="0"/>
                    <wp:lineTo x="0" y="20784"/>
                    <wp:lineTo x="21537" y="20784"/>
                    <wp:lineTo x="215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554355"/>
                        </a:xfrm>
                        <a:prstGeom prst="rect">
                          <a:avLst/>
                        </a:prstGeom>
                        <a:solidFill>
                          <a:sysClr val="window" lastClr="FFFFFF"/>
                        </a:solidFill>
                        <a:ln w="6350">
                          <a:noFill/>
                        </a:ln>
                        <a:effectLst/>
                      </wps:spPr>
                      <wps:txbx>
                        <w:txbxContent>
                          <w:p w14:paraId="1E36D4D6" w14:textId="77777777" w:rsidR="00467A6F" w:rsidRPr="003D2292" w:rsidRDefault="00467A6F" w:rsidP="00EE3F4F">
                            <w:pPr>
                              <w:pStyle w:val="Footer"/>
                              <w:jc w:val="center"/>
                              <w:rPr>
                                <w:rFonts w:cs="Arial"/>
                                <w:sz w:val="20"/>
                                <w:szCs w:val="20"/>
                              </w:rPr>
                            </w:pPr>
                            <w:r w:rsidRPr="003D2292">
                              <w:rPr>
                                <w:rFonts w:cs="Arial"/>
                                <w:sz w:val="20"/>
                                <w:szCs w:val="20"/>
                              </w:rPr>
                              <w:t xml:space="preserve">This work was funded by the U.S. Department of State, Bureau of Energy </w:t>
                            </w:r>
                            <w:r>
                              <w:rPr>
                                <w:rFonts w:cs="Arial"/>
                                <w:sz w:val="20"/>
                                <w:szCs w:val="20"/>
                              </w:rPr>
                              <w:t xml:space="preserve">Resources, </w:t>
                            </w:r>
                            <w:r w:rsidRPr="000A4DD2">
                              <w:rPr>
                                <w:rFonts w:cs="Arial"/>
                                <w:sz w:val="20"/>
                                <w:szCs w:val="20"/>
                              </w:rPr>
                              <w:t>Power Sector Program.</w:t>
                            </w:r>
                          </w:p>
                          <w:p w14:paraId="388FDF3F" w14:textId="77777777" w:rsidR="00467A6F" w:rsidRPr="003D2292" w:rsidRDefault="00467A6F" w:rsidP="00533E66">
                            <w:pPr>
                              <w:jc w:val="center"/>
                              <w:rPr>
                                <w:rFonts w:cs="Arial"/>
                                <w:sz w:val="20"/>
                                <w:szCs w:val="20"/>
                              </w:rPr>
                            </w:pPr>
                            <w:r w:rsidRPr="003D2292">
                              <w:rPr>
                                <w:rFonts w:cs="Arial"/>
                                <w:sz w:val="20"/>
                                <w:szCs w:val="20"/>
                              </w:rPr>
                              <w:t xml:space="preserve">This work does not necessarily reflect </w:t>
                            </w:r>
                            <w:r>
                              <w:rPr>
                                <w:rFonts w:cs="Arial"/>
                                <w:sz w:val="20"/>
                                <w:szCs w:val="20"/>
                              </w:rPr>
                              <w:t>the views of the United States g</w:t>
                            </w:r>
                            <w:r w:rsidRPr="003D2292">
                              <w:rPr>
                                <w:rFonts w:cs="Arial"/>
                                <w:sz w:val="20"/>
                                <w:szCs w:val="20"/>
                              </w:rPr>
                              <w:t>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3C8D" id="Text Box 2" o:spid="_x0000_s1027" type="#_x0000_t202" style="position:absolute;left:0;text-align:left;margin-left:-23.2pt;margin-top:28.4pt;width:514.5pt;height:4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" fillcolor="window" stroked="f" strokeweight=".5pt">
                <v:path arrowok="t"/>
                <v:textbox>
                  <w:txbxContent>
                    <w:p w14:paraId="1E36D4D6" w14:textId="77777777" w:rsidR="00467A6F" w:rsidRPr="003D2292" w:rsidRDefault="00467A6F" w:rsidP="00EE3F4F">
                      <w:pPr>
                        <w:pStyle w:val="Footer"/>
                        <w:jc w:val="center"/>
                        <w:rPr>
                          <w:rFonts w:cs="Arial"/>
                          <w:sz w:val="20"/>
                          <w:szCs w:val="20"/>
                        </w:rPr>
                      </w:pPr>
                      <w:r w:rsidRPr="003D2292">
                        <w:rPr>
                          <w:rFonts w:cs="Arial"/>
                          <w:sz w:val="20"/>
                          <w:szCs w:val="20"/>
                        </w:rPr>
                        <w:t xml:space="preserve">This work was funded by the U.S. Department of State, Bureau of Energy </w:t>
                      </w:r>
                      <w:r>
                        <w:rPr>
                          <w:rFonts w:cs="Arial"/>
                          <w:sz w:val="20"/>
                          <w:szCs w:val="20"/>
                        </w:rPr>
                        <w:t xml:space="preserve">Resources, </w:t>
                      </w:r>
                      <w:proofErr w:type="gramStart"/>
                      <w:r w:rsidRPr="000A4DD2">
                        <w:rPr>
                          <w:rFonts w:cs="Arial"/>
                          <w:sz w:val="20"/>
                          <w:szCs w:val="20"/>
                        </w:rPr>
                        <w:t>Power</w:t>
                      </w:r>
                      <w:proofErr w:type="gramEnd"/>
                      <w:r w:rsidRPr="000A4DD2">
                        <w:rPr>
                          <w:rFonts w:cs="Arial"/>
                          <w:sz w:val="20"/>
                          <w:szCs w:val="20"/>
                        </w:rPr>
                        <w:t xml:space="preserve"> Sector Program.</w:t>
                      </w:r>
                    </w:p>
                    <w:p w14:paraId="388FDF3F" w14:textId="77777777" w:rsidR="00467A6F" w:rsidRPr="003D2292" w:rsidRDefault="00467A6F" w:rsidP="00533E66">
                      <w:pPr>
                        <w:jc w:val="center"/>
                        <w:rPr>
                          <w:rFonts w:cs="Arial"/>
                          <w:sz w:val="20"/>
                          <w:szCs w:val="20"/>
                        </w:rPr>
                      </w:pPr>
                      <w:r w:rsidRPr="003D2292">
                        <w:rPr>
                          <w:rFonts w:cs="Arial"/>
                          <w:sz w:val="20"/>
                          <w:szCs w:val="20"/>
                        </w:rPr>
                        <w:t xml:space="preserve">This work does not necessarily reflect </w:t>
                      </w:r>
                      <w:r>
                        <w:rPr>
                          <w:rFonts w:cs="Arial"/>
                          <w:sz w:val="20"/>
                          <w:szCs w:val="20"/>
                        </w:rPr>
                        <w:t>the views of the United States g</w:t>
                      </w:r>
                      <w:r w:rsidRPr="003D2292">
                        <w:rPr>
                          <w:rFonts w:cs="Arial"/>
                          <w:sz w:val="20"/>
                          <w:szCs w:val="20"/>
                        </w:rPr>
                        <w:t>overnment.</w:t>
                      </w:r>
                    </w:p>
                  </w:txbxContent>
                </v:textbox>
                <w10:wrap type="tight" anchorx="margin"/>
              </v:shape>
            </w:pict>
          </mc:Fallback>
        </mc:AlternateContent>
      </w:r>
      <w:r w:rsidR="00894C30">
        <w:rPr>
          <w:rFonts w:cs="Arial"/>
          <w:b/>
        </w:rPr>
        <w:t>September 7</w:t>
      </w:r>
      <w:r w:rsidR="00270A2B">
        <w:rPr>
          <w:rFonts w:cs="Arial"/>
          <w:b/>
        </w:rPr>
        <w:t>, 2018</w:t>
      </w:r>
    </w:p>
    <w:p w14:paraId="67AD029E" w14:textId="77777777" w:rsidR="00802307" w:rsidRPr="00864A34" w:rsidRDefault="00802307" w:rsidP="00A22FD1">
      <w:pPr>
        <w:pStyle w:val="Default"/>
        <w:jc w:val="center"/>
        <w:rPr>
          <w:rFonts w:ascii="Arial" w:hAnsi="Arial" w:cs="Arial"/>
        </w:rPr>
      </w:pPr>
      <w:bookmarkStart w:id="0" w:name="_Toc270326147"/>
    </w:p>
    <w:p w14:paraId="734A57B7" w14:textId="77777777" w:rsidR="00A22FD1" w:rsidRPr="00864A34" w:rsidRDefault="00E63479" w:rsidP="00A22FD1">
      <w:pPr>
        <w:pStyle w:val="Default"/>
        <w:jc w:val="center"/>
        <w:rPr>
          <w:rFonts w:ascii="Arial" w:hAnsi="Arial" w:cs="Arial"/>
        </w:rPr>
      </w:pPr>
      <w:r w:rsidRPr="00864A34">
        <w:rPr>
          <w:rFonts w:ascii="Arial" w:hAnsi="Arial" w:cs="Arial"/>
          <w:b/>
          <w:noProof/>
          <w:color w:val="92D050"/>
          <w:sz w:val="44"/>
          <w:szCs w:val="48"/>
          <w:lang w:val="en-US"/>
        </w:rPr>
        <w:drawing>
          <wp:anchor distT="0" distB="0" distL="114300" distR="114300" simplePos="0" relativeHeight="251660288" behindDoc="0" locked="0" layoutInCell="1" allowOverlap="1" wp14:anchorId="60654766" wp14:editId="2870F098">
            <wp:simplePos x="0" y="0"/>
            <wp:positionH relativeFrom="margin">
              <wp:align>center</wp:align>
            </wp:positionH>
            <wp:positionV relativeFrom="paragraph">
              <wp:posOffset>7691</wp:posOffset>
            </wp:positionV>
            <wp:extent cx="843915" cy="830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 Logo.JPG"/>
                    <pic:cNvPicPr/>
                  </pic:nvPicPr>
                  <pic:blipFill>
                    <a:blip r:embed="rId11" cstate="print">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843915" cy="830580"/>
                    </a:xfrm>
                    <a:prstGeom prst="rect">
                      <a:avLst/>
                    </a:prstGeom>
                  </pic:spPr>
                </pic:pic>
              </a:graphicData>
            </a:graphic>
            <wp14:sizeRelH relativeFrom="page">
              <wp14:pctWidth>0</wp14:pctWidth>
            </wp14:sizeRelH>
            <wp14:sizeRelV relativeFrom="page">
              <wp14:pctHeight>0</wp14:pctHeight>
            </wp14:sizeRelV>
          </wp:anchor>
        </w:drawing>
      </w:r>
    </w:p>
    <w:p w14:paraId="0613EC0A" w14:textId="77777777" w:rsidR="00EE3F4F" w:rsidRPr="00915A4A" w:rsidRDefault="00EE3F4F" w:rsidP="00EE3F4F">
      <w:pPr>
        <w:rPr>
          <w:rFonts w:cs="Arial"/>
        </w:rPr>
      </w:pPr>
      <w:r w:rsidRPr="00915A4A">
        <w:rPr>
          <w:rFonts w:cs="Arial"/>
        </w:rPr>
        <w:br w:type="page"/>
      </w:r>
    </w:p>
    <w:p w14:paraId="4552E61E" w14:textId="77777777" w:rsidR="00A22FD1" w:rsidRPr="00864A34" w:rsidRDefault="00A22FD1" w:rsidP="00A22FD1">
      <w:pPr>
        <w:pStyle w:val="Default"/>
        <w:jc w:val="center"/>
        <w:rPr>
          <w:rFonts w:ascii="Arial" w:hAnsi="Arial" w:cs="Arial"/>
        </w:rPr>
      </w:pPr>
    </w:p>
    <w:p w14:paraId="1852E65E" w14:textId="77777777" w:rsidR="00551F71" w:rsidRPr="00864A34" w:rsidRDefault="00551F71" w:rsidP="00A22FD1">
      <w:pPr>
        <w:spacing w:after="0"/>
        <w:jc w:val="left"/>
        <w:rPr>
          <w:rFonts w:cs="Arial"/>
          <w:b/>
        </w:rPr>
      </w:pPr>
    </w:p>
    <w:p w14:paraId="3F5C52FB" w14:textId="77777777" w:rsidR="00551F71" w:rsidRPr="00864A34" w:rsidRDefault="00551F71" w:rsidP="00A22FD1">
      <w:pPr>
        <w:spacing w:after="0"/>
        <w:jc w:val="left"/>
        <w:rPr>
          <w:rFonts w:cs="Arial"/>
          <w:b/>
        </w:rPr>
      </w:pPr>
    </w:p>
    <w:p w14:paraId="53E82ED0" w14:textId="77777777" w:rsidR="00551F71" w:rsidRPr="00864A34" w:rsidRDefault="00551F71" w:rsidP="00A22FD1">
      <w:pPr>
        <w:spacing w:after="0"/>
        <w:jc w:val="left"/>
        <w:rPr>
          <w:rFonts w:cs="Arial"/>
          <w:b/>
        </w:rPr>
      </w:pPr>
    </w:p>
    <w:p w14:paraId="0D58D448" w14:textId="77777777" w:rsidR="00551F71" w:rsidRPr="00864A34" w:rsidRDefault="00551F71" w:rsidP="00A22FD1">
      <w:pPr>
        <w:spacing w:after="0"/>
        <w:jc w:val="left"/>
        <w:rPr>
          <w:rFonts w:cs="Arial"/>
          <w:b/>
        </w:rPr>
      </w:pPr>
    </w:p>
    <w:p w14:paraId="23D48528" w14:textId="77777777" w:rsidR="00551F71" w:rsidRPr="00864A34" w:rsidRDefault="00551F71" w:rsidP="00A22FD1">
      <w:pPr>
        <w:spacing w:after="0"/>
        <w:jc w:val="left"/>
        <w:rPr>
          <w:rFonts w:cs="Arial"/>
          <w:b/>
        </w:rPr>
      </w:pPr>
    </w:p>
    <w:p w14:paraId="2B050F72" w14:textId="77777777" w:rsidR="00551F71" w:rsidRPr="00864A34" w:rsidRDefault="00551F71" w:rsidP="00A22FD1">
      <w:pPr>
        <w:spacing w:after="0"/>
        <w:jc w:val="left"/>
        <w:rPr>
          <w:rFonts w:cs="Arial"/>
          <w:b/>
        </w:rPr>
      </w:pPr>
    </w:p>
    <w:p w14:paraId="7C2E5FED" w14:textId="77777777" w:rsidR="00551F71" w:rsidRPr="00864A34" w:rsidRDefault="00551F71" w:rsidP="00A22FD1">
      <w:pPr>
        <w:spacing w:after="0"/>
        <w:jc w:val="left"/>
        <w:rPr>
          <w:rFonts w:cs="Arial"/>
          <w:b/>
        </w:rPr>
      </w:pPr>
    </w:p>
    <w:p w14:paraId="1A230D4C" w14:textId="77777777" w:rsidR="00551F71" w:rsidRPr="00864A34" w:rsidRDefault="00551F71" w:rsidP="00A22FD1">
      <w:pPr>
        <w:spacing w:after="0"/>
        <w:jc w:val="left"/>
        <w:rPr>
          <w:rFonts w:cs="Arial"/>
          <w:b/>
        </w:rPr>
      </w:pPr>
    </w:p>
    <w:p w14:paraId="4DC1DC5F" w14:textId="77777777" w:rsidR="00551F71" w:rsidRPr="00864A34" w:rsidRDefault="00551F71" w:rsidP="00A22FD1">
      <w:pPr>
        <w:spacing w:after="0"/>
        <w:jc w:val="left"/>
        <w:rPr>
          <w:rFonts w:cs="Arial"/>
          <w:b/>
        </w:rPr>
      </w:pPr>
    </w:p>
    <w:p w14:paraId="21301875" w14:textId="77777777" w:rsidR="00551F71" w:rsidRPr="00864A34" w:rsidRDefault="00551F71" w:rsidP="00A22FD1">
      <w:pPr>
        <w:spacing w:after="0"/>
        <w:jc w:val="left"/>
        <w:rPr>
          <w:rFonts w:cs="Arial"/>
          <w:b/>
        </w:rPr>
      </w:pPr>
    </w:p>
    <w:p w14:paraId="4D270237" w14:textId="77777777" w:rsidR="00551F71" w:rsidRPr="00864A34" w:rsidRDefault="00551F71" w:rsidP="00A22FD1">
      <w:pPr>
        <w:spacing w:after="0"/>
        <w:jc w:val="left"/>
        <w:rPr>
          <w:rFonts w:cs="Arial"/>
          <w:b/>
        </w:rPr>
      </w:pPr>
    </w:p>
    <w:p w14:paraId="6C8CDD48" w14:textId="77777777" w:rsidR="00551F71" w:rsidRPr="00864A34" w:rsidRDefault="00551F71" w:rsidP="00A22FD1">
      <w:pPr>
        <w:spacing w:after="0"/>
        <w:jc w:val="left"/>
        <w:rPr>
          <w:rFonts w:cs="Arial"/>
          <w:b/>
        </w:rPr>
      </w:pPr>
    </w:p>
    <w:p w14:paraId="7312032C" w14:textId="77777777" w:rsidR="00551F71" w:rsidRPr="00864A34" w:rsidRDefault="00551F71" w:rsidP="00A22FD1">
      <w:pPr>
        <w:spacing w:after="0"/>
        <w:jc w:val="left"/>
        <w:rPr>
          <w:rFonts w:cs="Arial"/>
          <w:b/>
        </w:rPr>
      </w:pPr>
    </w:p>
    <w:p w14:paraId="15109E1B" w14:textId="77777777" w:rsidR="00551F71" w:rsidRPr="00864A34" w:rsidRDefault="00551F71" w:rsidP="00A22FD1">
      <w:pPr>
        <w:spacing w:after="0"/>
        <w:jc w:val="left"/>
        <w:rPr>
          <w:rFonts w:cs="Arial"/>
          <w:b/>
        </w:rPr>
      </w:pPr>
    </w:p>
    <w:p w14:paraId="398E33AC" w14:textId="77777777" w:rsidR="00551F71" w:rsidRPr="00864A34" w:rsidRDefault="00551F71" w:rsidP="00A22FD1">
      <w:pPr>
        <w:spacing w:after="0"/>
        <w:jc w:val="left"/>
        <w:rPr>
          <w:rFonts w:cs="Arial"/>
          <w:b/>
        </w:rPr>
      </w:pPr>
    </w:p>
    <w:p w14:paraId="1F611A5D" w14:textId="77777777" w:rsidR="00551F71" w:rsidRPr="00864A34" w:rsidRDefault="00551F71" w:rsidP="00A22FD1">
      <w:pPr>
        <w:spacing w:after="0"/>
        <w:jc w:val="left"/>
        <w:rPr>
          <w:rFonts w:cs="Arial"/>
          <w:b/>
        </w:rPr>
      </w:pPr>
    </w:p>
    <w:p w14:paraId="6B3D2332" w14:textId="77777777" w:rsidR="00551F71" w:rsidRPr="00864A34" w:rsidRDefault="00551F71" w:rsidP="00A22FD1">
      <w:pPr>
        <w:spacing w:after="0"/>
        <w:jc w:val="left"/>
        <w:rPr>
          <w:rFonts w:cs="Arial"/>
          <w:b/>
        </w:rPr>
      </w:pPr>
    </w:p>
    <w:p w14:paraId="237C24F6" w14:textId="77777777" w:rsidR="00551F71" w:rsidRPr="00864A34" w:rsidRDefault="00551F71" w:rsidP="00A22FD1">
      <w:pPr>
        <w:spacing w:after="0"/>
        <w:jc w:val="left"/>
        <w:rPr>
          <w:rFonts w:cs="Arial"/>
          <w:b/>
        </w:rPr>
      </w:pPr>
    </w:p>
    <w:p w14:paraId="6CA2A524" w14:textId="77777777" w:rsidR="00551F71" w:rsidRPr="00864A34" w:rsidRDefault="00551F71" w:rsidP="00A22FD1">
      <w:pPr>
        <w:spacing w:after="0"/>
        <w:jc w:val="left"/>
        <w:rPr>
          <w:rFonts w:cs="Arial"/>
          <w:b/>
        </w:rPr>
      </w:pPr>
    </w:p>
    <w:p w14:paraId="36A643A0" w14:textId="77777777" w:rsidR="00551F71" w:rsidRPr="00864A34" w:rsidRDefault="00551F71" w:rsidP="00A22FD1">
      <w:pPr>
        <w:spacing w:after="0"/>
        <w:jc w:val="left"/>
        <w:rPr>
          <w:rFonts w:cs="Arial"/>
          <w:b/>
        </w:rPr>
      </w:pPr>
    </w:p>
    <w:p w14:paraId="237D1A2F" w14:textId="77777777" w:rsidR="00551F71" w:rsidRPr="00864A34" w:rsidRDefault="00551F71" w:rsidP="00A22FD1">
      <w:pPr>
        <w:spacing w:after="0"/>
        <w:jc w:val="left"/>
        <w:rPr>
          <w:rFonts w:cs="Arial"/>
          <w:b/>
        </w:rPr>
      </w:pPr>
    </w:p>
    <w:p w14:paraId="11623460" w14:textId="77777777" w:rsidR="00551F71" w:rsidRPr="00864A34" w:rsidRDefault="00551F71" w:rsidP="00A22FD1">
      <w:pPr>
        <w:spacing w:after="0"/>
        <w:jc w:val="left"/>
        <w:rPr>
          <w:rFonts w:cs="Arial"/>
          <w:b/>
        </w:rPr>
      </w:pPr>
    </w:p>
    <w:p w14:paraId="7F7FFC4C" w14:textId="77777777" w:rsidR="00551F71" w:rsidRPr="00864A34" w:rsidRDefault="00551F71" w:rsidP="00A22FD1">
      <w:pPr>
        <w:spacing w:after="0"/>
        <w:jc w:val="left"/>
        <w:rPr>
          <w:rFonts w:cs="Arial"/>
          <w:b/>
        </w:rPr>
      </w:pPr>
    </w:p>
    <w:p w14:paraId="6BFEDD01" w14:textId="77777777" w:rsidR="00551F71" w:rsidRPr="00864A34" w:rsidRDefault="00551F71" w:rsidP="00A22FD1">
      <w:pPr>
        <w:spacing w:after="0"/>
        <w:jc w:val="left"/>
        <w:rPr>
          <w:rFonts w:cs="Arial"/>
          <w:b/>
        </w:rPr>
      </w:pPr>
    </w:p>
    <w:p w14:paraId="2B7150B2" w14:textId="77777777" w:rsidR="00551F71" w:rsidRPr="00864A34" w:rsidRDefault="00551F71" w:rsidP="00A22FD1">
      <w:pPr>
        <w:spacing w:after="0"/>
        <w:jc w:val="left"/>
        <w:rPr>
          <w:rFonts w:cs="Arial"/>
          <w:b/>
        </w:rPr>
      </w:pPr>
    </w:p>
    <w:p w14:paraId="353194B5" w14:textId="77777777" w:rsidR="00551F71" w:rsidRPr="00864A34" w:rsidRDefault="00551F71" w:rsidP="00A22FD1">
      <w:pPr>
        <w:spacing w:after="0"/>
        <w:jc w:val="left"/>
        <w:rPr>
          <w:rFonts w:cs="Arial"/>
          <w:b/>
        </w:rPr>
      </w:pPr>
    </w:p>
    <w:p w14:paraId="4A22A7A3" w14:textId="77777777" w:rsidR="00551F71" w:rsidRPr="00864A34" w:rsidRDefault="00551F71" w:rsidP="00A22FD1">
      <w:pPr>
        <w:spacing w:after="0"/>
        <w:jc w:val="left"/>
        <w:rPr>
          <w:rFonts w:cs="Arial"/>
          <w:b/>
        </w:rPr>
      </w:pPr>
    </w:p>
    <w:p w14:paraId="2E8607C9" w14:textId="77777777" w:rsidR="00551F71" w:rsidRPr="00864A34" w:rsidRDefault="00551F71" w:rsidP="00A22FD1">
      <w:pPr>
        <w:spacing w:after="0"/>
        <w:jc w:val="left"/>
        <w:rPr>
          <w:rFonts w:cs="Arial"/>
          <w:b/>
        </w:rPr>
      </w:pPr>
    </w:p>
    <w:p w14:paraId="66E56F40" w14:textId="77777777" w:rsidR="00551F71" w:rsidRPr="00864A34" w:rsidRDefault="00551F71" w:rsidP="00A22FD1">
      <w:pPr>
        <w:spacing w:after="0"/>
        <w:jc w:val="left"/>
        <w:rPr>
          <w:rFonts w:cs="Arial"/>
          <w:b/>
        </w:rPr>
      </w:pPr>
    </w:p>
    <w:p w14:paraId="0AE9E429" w14:textId="77777777" w:rsidR="003D2292" w:rsidRPr="00864A34" w:rsidRDefault="003D2292" w:rsidP="00A22FD1">
      <w:pPr>
        <w:spacing w:after="0"/>
        <w:jc w:val="left"/>
        <w:rPr>
          <w:rFonts w:cs="Arial"/>
          <w:b/>
        </w:rPr>
      </w:pPr>
    </w:p>
    <w:p w14:paraId="49E2C0AD" w14:textId="77777777" w:rsidR="003D2292" w:rsidRPr="00864A34" w:rsidRDefault="003D2292" w:rsidP="00A22FD1">
      <w:pPr>
        <w:spacing w:after="0"/>
        <w:jc w:val="left"/>
        <w:rPr>
          <w:rFonts w:cs="Arial"/>
          <w:b/>
        </w:rPr>
      </w:pPr>
    </w:p>
    <w:p w14:paraId="1B068724" w14:textId="77777777" w:rsidR="003D2292" w:rsidRPr="00864A34" w:rsidRDefault="003D2292" w:rsidP="00A22FD1">
      <w:pPr>
        <w:spacing w:after="0"/>
        <w:jc w:val="left"/>
        <w:rPr>
          <w:rFonts w:cs="Arial"/>
          <w:b/>
        </w:rPr>
      </w:pPr>
    </w:p>
    <w:p w14:paraId="647B1ED5" w14:textId="77777777" w:rsidR="003D2292" w:rsidRPr="00864A34" w:rsidRDefault="003D2292" w:rsidP="00A22FD1">
      <w:pPr>
        <w:spacing w:after="0"/>
        <w:jc w:val="left"/>
        <w:rPr>
          <w:rFonts w:cs="Arial"/>
          <w:b/>
        </w:rPr>
      </w:pPr>
    </w:p>
    <w:p w14:paraId="625AB867" w14:textId="77777777" w:rsidR="00551F71" w:rsidRPr="00864A34" w:rsidRDefault="00551F71" w:rsidP="00A22FD1">
      <w:pPr>
        <w:spacing w:after="0"/>
        <w:jc w:val="left"/>
        <w:rPr>
          <w:rFonts w:cs="Arial"/>
          <w:b/>
        </w:rPr>
      </w:pPr>
    </w:p>
    <w:p w14:paraId="4D613E41" w14:textId="77777777" w:rsidR="00551F71" w:rsidRPr="00864A34" w:rsidRDefault="00551F71" w:rsidP="00A22FD1">
      <w:pPr>
        <w:spacing w:after="0"/>
        <w:jc w:val="left"/>
        <w:rPr>
          <w:rFonts w:cs="Arial"/>
          <w:b/>
        </w:rPr>
      </w:pPr>
    </w:p>
    <w:p w14:paraId="269E209A" w14:textId="77777777" w:rsidR="00551F71" w:rsidRPr="00864A34" w:rsidRDefault="00551F71" w:rsidP="00A22FD1">
      <w:pPr>
        <w:spacing w:after="0"/>
        <w:jc w:val="left"/>
        <w:rPr>
          <w:rFonts w:cs="Arial"/>
          <w:b/>
        </w:rPr>
      </w:pPr>
    </w:p>
    <w:p w14:paraId="1B557762" w14:textId="77777777" w:rsidR="00551F71" w:rsidRPr="00864A34" w:rsidRDefault="00551F71" w:rsidP="00A22FD1">
      <w:pPr>
        <w:spacing w:after="0"/>
        <w:jc w:val="left"/>
        <w:rPr>
          <w:rFonts w:cs="Arial"/>
          <w:b/>
        </w:rPr>
      </w:pPr>
    </w:p>
    <w:p w14:paraId="38D1B05C" w14:textId="77777777" w:rsidR="00551F71" w:rsidRPr="00864A34" w:rsidRDefault="00551F71" w:rsidP="00A22FD1">
      <w:pPr>
        <w:spacing w:after="0"/>
        <w:jc w:val="left"/>
        <w:rPr>
          <w:rFonts w:cs="Arial"/>
          <w:b/>
        </w:rPr>
      </w:pPr>
    </w:p>
    <w:p w14:paraId="5F679761" w14:textId="77777777" w:rsidR="00551F71" w:rsidRPr="00864A34" w:rsidRDefault="00551F71" w:rsidP="00A22FD1">
      <w:pPr>
        <w:spacing w:after="0"/>
        <w:jc w:val="left"/>
        <w:rPr>
          <w:rFonts w:cs="Arial"/>
          <w:b/>
        </w:rPr>
      </w:pPr>
    </w:p>
    <w:p w14:paraId="24275BE7" w14:textId="77777777" w:rsidR="00B64FF5" w:rsidRPr="00864A34" w:rsidRDefault="00551F71" w:rsidP="00A22FD1">
      <w:pPr>
        <w:spacing w:after="0"/>
        <w:jc w:val="left"/>
        <w:rPr>
          <w:rFonts w:cs="Arial"/>
          <w:b/>
        </w:rPr>
      </w:pPr>
      <w:r w:rsidRPr="00864A34">
        <w:rPr>
          <w:rFonts w:cs="Arial"/>
          <w:b/>
        </w:rPr>
        <w:t>D</w:t>
      </w:r>
      <w:r w:rsidR="00802307" w:rsidRPr="00864A34">
        <w:rPr>
          <w:rFonts w:cs="Arial"/>
          <w:b/>
        </w:rPr>
        <w:t>I</w:t>
      </w:r>
      <w:r w:rsidR="00B64FF5" w:rsidRPr="00864A34">
        <w:rPr>
          <w:rFonts w:cs="Arial"/>
          <w:b/>
        </w:rPr>
        <w:t>SCLAIMER</w:t>
      </w:r>
    </w:p>
    <w:p w14:paraId="14FD6378" w14:textId="77777777" w:rsidR="002879A7" w:rsidRPr="00864A34" w:rsidRDefault="002879A7" w:rsidP="00C06847">
      <w:pPr>
        <w:tabs>
          <w:tab w:val="left" w:pos="972"/>
        </w:tabs>
        <w:spacing w:after="0" w:line="280" w:lineRule="atLeast"/>
        <w:rPr>
          <w:rFonts w:cs="Arial"/>
          <w:sz w:val="20"/>
          <w:szCs w:val="20"/>
        </w:rPr>
      </w:pPr>
      <w:r w:rsidRPr="00864A34">
        <w:rPr>
          <w:rFonts w:cs="Arial"/>
          <w:sz w:val="20"/>
          <w:szCs w:val="20"/>
        </w:rPr>
        <w:t>This document has been prepared by Deloitte Financial Advisory Services LLP (“Deloitte FAS”) for t</w:t>
      </w:r>
      <w:r w:rsidR="00AD5BC2" w:rsidRPr="00864A34">
        <w:rPr>
          <w:rFonts w:cs="Arial"/>
          <w:sz w:val="20"/>
          <w:szCs w:val="20"/>
        </w:rPr>
        <w:t>he U.S. Department of State (“</w:t>
      </w:r>
      <w:r w:rsidR="002B7EF5" w:rsidRPr="00864A34">
        <w:rPr>
          <w:rFonts w:cs="Arial"/>
          <w:sz w:val="20"/>
          <w:szCs w:val="20"/>
        </w:rPr>
        <w:t>DOS</w:t>
      </w:r>
      <w:r w:rsidRPr="00864A34">
        <w:rPr>
          <w:rFonts w:cs="Arial"/>
          <w:sz w:val="20"/>
          <w:szCs w:val="20"/>
        </w:rPr>
        <w:t xml:space="preserve">”) under a contract between Deloitte FAS and </w:t>
      </w:r>
      <w:r w:rsidR="004F0DA8" w:rsidRPr="00864A34">
        <w:rPr>
          <w:rFonts w:cs="Arial"/>
          <w:sz w:val="20"/>
          <w:szCs w:val="20"/>
        </w:rPr>
        <w:t xml:space="preserve">the </w:t>
      </w:r>
      <w:r w:rsidR="002B7EF5" w:rsidRPr="00864A34">
        <w:rPr>
          <w:rFonts w:cs="Arial"/>
          <w:sz w:val="20"/>
          <w:szCs w:val="20"/>
        </w:rPr>
        <w:t>DOS</w:t>
      </w:r>
      <w:r w:rsidRPr="00864A34">
        <w:rPr>
          <w:rFonts w:cs="Arial"/>
          <w:sz w:val="20"/>
          <w:szCs w:val="20"/>
        </w:rPr>
        <w:t>.  This document does not necessarily reflect the views of the Department</w:t>
      </w:r>
      <w:r w:rsidR="001745CD" w:rsidRPr="00864A34">
        <w:rPr>
          <w:rFonts w:cs="Arial"/>
          <w:sz w:val="20"/>
          <w:szCs w:val="20"/>
        </w:rPr>
        <w:t xml:space="preserve"> of State or the United States g</w:t>
      </w:r>
      <w:r w:rsidRPr="00864A34">
        <w:rPr>
          <w:rFonts w:cs="Arial"/>
          <w:sz w:val="20"/>
          <w:szCs w:val="20"/>
        </w:rPr>
        <w:t xml:space="preserve">overnment.  Information provided by </w:t>
      </w:r>
      <w:r w:rsidR="004F0DA8" w:rsidRPr="00864A34">
        <w:rPr>
          <w:rFonts w:cs="Arial"/>
          <w:sz w:val="20"/>
          <w:szCs w:val="20"/>
        </w:rPr>
        <w:t xml:space="preserve">the </w:t>
      </w:r>
      <w:r w:rsidR="002B7EF5" w:rsidRPr="00864A34">
        <w:rPr>
          <w:rFonts w:cs="Arial"/>
          <w:sz w:val="20"/>
          <w:szCs w:val="20"/>
        </w:rPr>
        <w:t>DOS</w:t>
      </w:r>
      <w:r w:rsidRPr="00864A34">
        <w:rPr>
          <w:rFonts w:cs="Arial"/>
          <w:sz w:val="20"/>
          <w:szCs w:val="20"/>
        </w:rPr>
        <w:t xml:space="preserve"> and third parties may have been used in the preparation of this document but was not independently verified by Deloitte FAS.  The document may be provided to third parties for informational purposes only and shall not be relied upon by third parties as a specific professional advice or recommendation. </w:t>
      </w:r>
      <w:r w:rsidR="00AD5BC2" w:rsidRPr="00864A34">
        <w:rPr>
          <w:rFonts w:cs="Arial"/>
          <w:sz w:val="20"/>
          <w:szCs w:val="20"/>
        </w:rPr>
        <w:t xml:space="preserve"> </w:t>
      </w:r>
      <w:r w:rsidRPr="00864A34">
        <w:rPr>
          <w:rFonts w:cs="Arial"/>
          <w:sz w:val="20"/>
          <w:szCs w:val="20"/>
        </w:rPr>
        <w:t>Neither Deloitte FAS nor its affiliates or related entities shall be responsible for any loss whatsoever sustained by any party who relies on any information included in this document</w:t>
      </w:r>
      <w:r w:rsidR="003D2292" w:rsidRPr="00864A34">
        <w:rPr>
          <w:rFonts w:cs="Arial"/>
          <w:sz w:val="20"/>
          <w:szCs w:val="20"/>
        </w:rPr>
        <w:t>.</w:t>
      </w:r>
    </w:p>
    <w:p w14:paraId="57DDAF0F" w14:textId="77777777" w:rsidR="00046892" w:rsidRPr="00864A34" w:rsidRDefault="00B64FF5" w:rsidP="007E4A3D">
      <w:pPr>
        <w:autoSpaceDE w:val="0"/>
        <w:autoSpaceDN w:val="0"/>
        <w:adjustRightInd w:val="0"/>
        <w:spacing w:after="0"/>
        <w:jc w:val="left"/>
        <w:rPr>
          <w:rFonts w:cs="Arial"/>
          <w:b/>
          <w:color w:val="001D58" w:themeColor="accent1" w:themeShade="BF"/>
          <w:sz w:val="32"/>
        </w:rPr>
      </w:pPr>
      <w:r w:rsidRPr="00864A34">
        <w:rPr>
          <w:rFonts w:cs="Arial"/>
          <w:b/>
        </w:rPr>
        <w:br w:type="page"/>
      </w:r>
      <w:r w:rsidR="000B33D4" w:rsidRPr="00864A34">
        <w:rPr>
          <w:rFonts w:cs="Arial"/>
          <w:b/>
          <w:color w:val="002776" w:themeColor="accent1"/>
          <w:sz w:val="32"/>
        </w:rPr>
        <w:lastRenderedPageBreak/>
        <w:t>TABLE OF CONTENTS</w:t>
      </w:r>
    </w:p>
    <w:p w14:paraId="6E91C2B0" w14:textId="77777777" w:rsidR="008E447E" w:rsidRPr="00864A34" w:rsidRDefault="008E447E" w:rsidP="00EE34AA">
      <w:pPr>
        <w:tabs>
          <w:tab w:val="right" w:leader="dot" w:pos="9360"/>
        </w:tabs>
        <w:autoSpaceDE w:val="0"/>
        <w:autoSpaceDN w:val="0"/>
        <w:adjustRightInd w:val="0"/>
        <w:spacing w:after="0"/>
        <w:jc w:val="left"/>
        <w:rPr>
          <w:rFonts w:cs="Arial"/>
          <w:sz w:val="24"/>
          <w:szCs w:val="24"/>
          <w:lang w:eastAsia="en-US"/>
        </w:rPr>
      </w:pPr>
    </w:p>
    <w:p w14:paraId="6FD2F079" w14:textId="48528871" w:rsidR="00AE77EC" w:rsidRDefault="008E447E" w:rsidP="00AE77EC">
      <w:pPr>
        <w:pStyle w:val="TOC1"/>
        <w:rPr>
          <w:rFonts w:asciiTheme="minorHAnsi" w:eastAsiaTheme="minorEastAsia" w:hAnsiTheme="minorHAnsi" w:cstheme="minorBidi"/>
          <w:color w:val="auto"/>
          <w:sz w:val="22"/>
          <w:szCs w:val="22"/>
          <w:lang w:eastAsia="en-US"/>
        </w:rPr>
      </w:pPr>
      <w:r w:rsidRPr="00864A34">
        <w:rPr>
          <w:rFonts w:cs="Arial"/>
          <w:sz w:val="24"/>
          <w:szCs w:val="24"/>
          <w:lang w:eastAsia="en-US"/>
        </w:rPr>
        <w:fldChar w:fldCharType="begin"/>
      </w:r>
      <w:r w:rsidRPr="00864A34">
        <w:rPr>
          <w:rFonts w:cs="Arial"/>
          <w:sz w:val="24"/>
          <w:szCs w:val="24"/>
          <w:lang w:eastAsia="en-US"/>
        </w:rPr>
        <w:instrText xml:space="preserve"> TOC \o "1-2" \u </w:instrText>
      </w:r>
      <w:r w:rsidRPr="00864A34">
        <w:rPr>
          <w:rFonts w:cs="Arial"/>
          <w:sz w:val="24"/>
          <w:szCs w:val="24"/>
          <w:lang w:eastAsia="en-US"/>
        </w:rPr>
        <w:fldChar w:fldCharType="separate"/>
      </w:r>
      <w:r w:rsidR="00AE77EC" w:rsidRPr="008D6FF5">
        <w:t>Executive Summary</w:t>
      </w:r>
      <w:r w:rsidR="00AE77EC">
        <w:tab/>
      </w:r>
      <w:r w:rsidR="00AE77EC">
        <w:fldChar w:fldCharType="begin"/>
      </w:r>
      <w:r w:rsidR="00AE77EC">
        <w:instrText xml:space="preserve"> PAGEREF _Toc524014068 \h </w:instrText>
      </w:r>
      <w:r w:rsidR="00AE77EC">
        <w:fldChar w:fldCharType="separate"/>
      </w:r>
      <w:r w:rsidR="00AE77EC">
        <w:t>5</w:t>
      </w:r>
      <w:r w:rsidR="00AE77EC">
        <w:fldChar w:fldCharType="end"/>
      </w:r>
    </w:p>
    <w:p w14:paraId="0A6044AD" w14:textId="01973153" w:rsidR="00AE77EC" w:rsidRDefault="00AE77EC" w:rsidP="00AE77EC">
      <w:pPr>
        <w:pStyle w:val="TOC1"/>
        <w:rPr>
          <w:rFonts w:asciiTheme="minorHAnsi" w:eastAsiaTheme="minorEastAsia" w:hAnsiTheme="minorHAnsi" w:cstheme="minorBidi"/>
          <w:color w:val="auto"/>
          <w:sz w:val="22"/>
          <w:szCs w:val="22"/>
          <w:lang w:eastAsia="en-US"/>
        </w:rPr>
      </w:pPr>
      <w:r>
        <w:t>1.</w:t>
      </w:r>
      <w:r>
        <w:rPr>
          <w:rFonts w:asciiTheme="minorHAnsi" w:eastAsiaTheme="minorEastAsia" w:hAnsiTheme="minorHAnsi" w:cstheme="minorBidi"/>
          <w:color w:val="auto"/>
          <w:sz w:val="22"/>
          <w:szCs w:val="22"/>
          <w:lang w:eastAsia="en-US"/>
        </w:rPr>
        <w:tab/>
      </w:r>
      <w:r>
        <w:t>BACKGROUND ON Cross-Border Transmission Pricing</w:t>
      </w:r>
      <w:r>
        <w:tab/>
      </w:r>
      <w:r>
        <w:fldChar w:fldCharType="begin"/>
      </w:r>
      <w:r>
        <w:instrText xml:space="preserve"> PAGEREF _Toc524014069 \h </w:instrText>
      </w:r>
      <w:r>
        <w:fldChar w:fldCharType="separate"/>
      </w:r>
      <w:r>
        <w:t>6</w:t>
      </w:r>
      <w:r>
        <w:fldChar w:fldCharType="end"/>
      </w:r>
    </w:p>
    <w:p w14:paraId="2A3757EC" w14:textId="1EB279ED" w:rsidR="00AE77EC" w:rsidRDefault="00AE77EC">
      <w:pPr>
        <w:pStyle w:val="TOC2"/>
        <w:rPr>
          <w:rFonts w:asciiTheme="minorHAnsi" w:eastAsiaTheme="minorEastAsia" w:hAnsiTheme="minorHAnsi" w:cstheme="minorBidi"/>
          <w:caps w:val="0"/>
          <w:sz w:val="22"/>
          <w:szCs w:val="22"/>
          <w:lang w:eastAsia="en-US"/>
        </w:rPr>
      </w:pPr>
      <w:r>
        <w:t>1.1.</w:t>
      </w:r>
      <w:r>
        <w:rPr>
          <w:rFonts w:asciiTheme="minorHAnsi" w:eastAsiaTheme="minorEastAsia" w:hAnsiTheme="minorHAnsi" w:cstheme="minorBidi"/>
          <w:caps w:val="0"/>
          <w:sz w:val="22"/>
          <w:szCs w:val="22"/>
          <w:lang w:eastAsia="en-US"/>
        </w:rPr>
        <w:tab/>
      </w:r>
      <w:r>
        <w:t>What are Cross-border Transmission Tariffs?</w:t>
      </w:r>
      <w:r>
        <w:tab/>
      </w:r>
      <w:r>
        <w:fldChar w:fldCharType="begin"/>
      </w:r>
      <w:r>
        <w:instrText xml:space="preserve"> PAGEREF _Toc524014070 \h </w:instrText>
      </w:r>
      <w:r>
        <w:fldChar w:fldCharType="separate"/>
      </w:r>
      <w:r>
        <w:t>6</w:t>
      </w:r>
      <w:r>
        <w:fldChar w:fldCharType="end"/>
      </w:r>
    </w:p>
    <w:p w14:paraId="2834BF9E" w14:textId="4CB90A87" w:rsidR="00AE77EC" w:rsidRDefault="00AE77EC">
      <w:pPr>
        <w:pStyle w:val="TOC2"/>
        <w:rPr>
          <w:rFonts w:asciiTheme="minorHAnsi" w:eastAsiaTheme="minorEastAsia" w:hAnsiTheme="minorHAnsi" w:cstheme="minorBidi"/>
          <w:caps w:val="0"/>
          <w:sz w:val="22"/>
          <w:szCs w:val="22"/>
          <w:lang w:eastAsia="en-US"/>
        </w:rPr>
      </w:pPr>
      <w:r>
        <w:t>1.2.</w:t>
      </w:r>
      <w:r>
        <w:rPr>
          <w:rFonts w:asciiTheme="minorHAnsi" w:eastAsiaTheme="minorEastAsia" w:hAnsiTheme="minorHAnsi" w:cstheme="minorBidi"/>
          <w:caps w:val="0"/>
          <w:sz w:val="22"/>
          <w:szCs w:val="22"/>
          <w:lang w:eastAsia="en-US"/>
        </w:rPr>
        <w:tab/>
      </w:r>
      <w:r>
        <w:t>Principles of Cross-border Transmission Pricing</w:t>
      </w:r>
      <w:r>
        <w:tab/>
      </w:r>
      <w:r>
        <w:fldChar w:fldCharType="begin"/>
      </w:r>
      <w:r>
        <w:instrText xml:space="preserve"> PAGEREF _Toc524014071 \h </w:instrText>
      </w:r>
      <w:r>
        <w:fldChar w:fldCharType="separate"/>
      </w:r>
      <w:r>
        <w:t>7</w:t>
      </w:r>
      <w:r>
        <w:fldChar w:fldCharType="end"/>
      </w:r>
    </w:p>
    <w:p w14:paraId="0AA7E3CC" w14:textId="72D15DB9" w:rsidR="00AE77EC" w:rsidRDefault="00AE77EC">
      <w:pPr>
        <w:pStyle w:val="TOC2"/>
        <w:rPr>
          <w:rFonts w:asciiTheme="minorHAnsi" w:eastAsiaTheme="minorEastAsia" w:hAnsiTheme="minorHAnsi" w:cstheme="minorBidi"/>
          <w:caps w:val="0"/>
          <w:sz w:val="22"/>
          <w:szCs w:val="22"/>
          <w:lang w:eastAsia="en-US"/>
        </w:rPr>
      </w:pPr>
      <w:r>
        <w:t>1.3.</w:t>
      </w:r>
      <w:r>
        <w:rPr>
          <w:rFonts w:asciiTheme="minorHAnsi" w:eastAsiaTheme="minorEastAsia" w:hAnsiTheme="minorHAnsi" w:cstheme="minorBidi"/>
          <w:caps w:val="0"/>
          <w:sz w:val="22"/>
          <w:szCs w:val="22"/>
          <w:lang w:eastAsia="en-US"/>
        </w:rPr>
        <w:tab/>
      </w:r>
      <w:r>
        <w:t>Impact of Transmission Pricing on Cross-border Investments</w:t>
      </w:r>
      <w:r>
        <w:tab/>
      </w:r>
      <w:r>
        <w:fldChar w:fldCharType="begin"/>
      </w:r>
      <w:r>
        <w:instrText xml:space="preserve"> PAGEREF _Toc524014072 \h </w:instrText>
      </w:r>
      <w:r>
        <w:fldChar w:fldCharType="separate"/>
      </w:r>
      <w:r>
        <w:t>7</w:t>
      </w:r>
      <w:r>
        <w:fldChar w:fldCharType="end"/>
      </w:r>
    </w:p>
    <w:p w14:paraId="65DAC2F4" w14:textId="42ECF60B" w:rsidR="00AE77EC" w:rsidRDefault="00AE77EC" w:rsidP="00AE77EC">
      <w:pPr>
        <w:pStyle w:val="TOC1"/>
        <w:rPr>
          <w:rFonts w:asciiTheme="minorHAnsi" w:eastAsiaTheme="minorEastAsia" w:hAnsiTheme="minorHAnsi" w:cstheme="minorBidi"/>
          <w:color w:val="auto"/>
          <w:sz w:val="22"/>
          <w:szCs w:val="22"/>
          <w:lang w:eastAsia="en-US"/>
        </w:rPr>
      </w:pPr>
      <w:r>
        <w:t>2.</w:t>
      </w:r>
      <w:r>
        <w:rPr>
          <w:rFonts w:asciiTheme="minorHAnsi" w:eastAsiaTheme="minorEastAsia" w:hAnsiTheme="minorHAnsi" w:cstheme="minorBidi"/>
          <w:color w:val="auto"/>
          <w:sz w:val="22"/>
          <w:szCs w:val="22"/>
          <w:lang w:eastAsia="en-US"/>
        </w:rPr>
        <w:tab/>
      </w:r>
      <w:r>
        <w:t>Different Approaches to Estimate Cross-border Transmission Tariffs</w:t>
      </w:r>
      <w:r>
        <w:tab/>
      </w:r>
      <w:r>
        <w:fldChar w:fldCharType="begin"/>
      </w:r>
      <w:r>
        <w:instrText xml:space="preserve"> PAGEREF _Toc524014073 \h </w:instrText>
      </w:r>
      <w:r>
        <w:fldChar w:fldCharType="separate"/>
      </w:r>
      <w:r>
        <w:t>9</w:t>
      </w:r>
      <w:r>
        <w:fldChar w:fldCharType="end"/>
      </w:r>
    </w:p>
    <w:p w14:paraId="1475ED2D" w14:textId="56D2DACE" w:rsidR="00AE77EC" w:rsidRDefault="00AE77EC">
      <w:pPr>
        <w:pStyle w:val="TOC2"/>
        <w:rPr>
          <w:rFonts w:asciiTheme="minorHAnsi" w:eastAsiaTheme="minorEastAsia" w:hAnsiTheme="minorHAnsi" w:cstheme="minorBidi"/>
          <w:caps w:val="0"/>
          <w:sz w:val="22"/>
          <w:szCs w:val="22"/>
          <w:lang w:eastAsia="en-US"/>
        </w:rPr>
      </w:pPr>
      <w:r>
        <w:t>2.1.</w:t>
      </w:r>
      <w:r>
        <w:rPr>
          <w:rFonts w:asciiTheme="minorHAnsi" w:eastAsiaTheme="minorEastAsia" w:hAnsiTheme="minorHAnsi" w:cstheme="minorBidi"/>
          <w:caps w:val="0"/>
          <w:sz w:val="22"/>
          <w:szCs w:val="22"/>
          <w:lang w:eastAsia="en-US"/>
        </w:rPr>
        <w:tab/>
      </w:r>
      <w:r>
        <w:t>Postage Stamp Methodology</w:t>
      </w:r>
      <w:r>
        <w:tab/>
      </w:r>
      <w:r>
        <w:fldChar w:fldCharType="begin"/>
      </w:r>
      <w:r>
        <w:instrText xml:space="preserve"> PAGEREF _Toc524014074 \h </w:instrText>
      </w:r>
      <w:r>
        <w:fldChar w:fldCharType="separate"/>
      </w:r>
      <w:r>
        <w:t>10</w:t>
      </w:r>
      <w:r>
        <w:fldChar w:fldCharType="end"/>
      </w:r>
    </w:p>
    <w:p w14:paraId="0B18855B" w14:textId="7C201942" w:rsidR="00AE77EC" w:rsidRDefault="00AE77EC">
      <w:pPr>
        <w:pStyle w:val="TOC2"/>
        <w:rPr>
          <w:rFonts w:asciiTheme="minorHAnsi" w:eastAsiaTheme="minorEastAsia" w:hAnsiTheme="minorHAnsi" w:cstheme="minorBidi"/>
          <w:caps w:val="0"/>
          <w:sz w:val="22"/>
          <w:szCs w:val="22"/>
          <w:lang w:eastAsia="en-US"/>
        </w:rPr>
      </w:pPr>
      <w:r>
        <w:t>2.2.</w:t>
      </w:r>
      <w:r>
        <w:rPr>
          <w:rFonts w:asciiTheme="minorHAnsi" w:eastAsiaTheme="minorEastAsia" w:hAnsiTheme="minorHAnsi" w:cstheme="minorBidi"/>
          <w:caps w:val="0"/>
          <w:sz w:val="22"/>
          <w:szCs w:val="22"/>
          <w:lang w:eastAsia="en-US"/>
        </w:rPr>
        <w:tab/>
      </w:r>
      <w:r>
        <w:t>Contract Path Methodology</w:t>
      </w:r>
      <w:r>
        <w:tab/>
      </w:r>
      <w:r>
        <w:fldChar w:fldCharType="begin"/>
      </w:r>
      <w:r>
        <w:instrText xml:space="preserve"> PAGEREF _Toc524014075 \h </w:instrText>
      </w:r>
      <w:r>
        <w:fldChar w:fldCharType="separate"/>
      </w:r>
      <w:r>
        <w:t>10</w:t>
      </w:r>
      <w:r>
        <w:fldChar w:fldCharType="end"/>
      </w:r>
    </w:p>
    <w:p w14:paraId="46C0BBC4" w14:textId="60666C07" w:rsidR="00AE77EC" w:rsidRDefault="00AE77EC">
      <w:pPr>
        <w:pStyle w:val="TOC2"/>
        <w:rPr>
          <w:rFonts w:asciiTheme="minorHAnsi" w:eastAsiaTheme="minorEastAsia" w:hAnsiTheme="minorHAnsi" w:cstheme="minorBidi"/>
          <w:caps w:val="0"/>
          <w:sz w:val="22"/>
          <w:szCs w:val="22"/>
          <w:lang w:eastAsia="en-US"/>
        </w:rPr>
      </w:pPr>
      <w:r>
        <w:t>2.3.</w:t>
      </w:r>
      <w:r>
        <w:rPr>
          <w:rFonts w:asciiTheme="minorHAnsi" w:eastAsiaTheme="minorEastAsia" w:hAnsiTheme="minorHAnsi" w:cstheme="minorBidi"/>
          <w:caps w:val="0"/>
          <w:sz w:val="22"/>
          <w:szCs w:val="22"/>
          <w:lang w:eastAsia="en-US"/>
        </w:rPr>
        <w:tab/>
      </w:r>
      <w:r>
        <w:t>MW-Mile Methodology</w:t>
      </w:r>
      <w:r>
        <w:tab/>
      </w:r>
      <w:r>
        <w:fldChar w:fldCharType="begin"/>
      </w:r>
      <w:r>
        <w:instrText xml:space="preserve"> PAGEREF _Toc524014076 \h </w:instrText>
      </w:r>
      <w:r>
        <w:fldChar w:fldCharType="separate"/>
      </w:r>
      <w:r>
        <w:t>11</w:t>
      </w:r>
      <w:r>
        <w:fldChar w:fldCharType="end"/>
      </w:r>
    </w:p>
    <w:p w14:paraId="6AF02185" w14:textId="53333D16" w:rsidR="00AE77EC" w:rsidRDefault="00AE77EC">
      <w:pPr>
        <w:pStyle w:val="TOC2"/>
        <w:rPr>
          <w:rFonts w:asciiTheme="minorHAnsi" w:eastAsiaTheme="minorEastAsia" w:hAnsiTheme="minorHAnsi" w:cstheme="minorBidi"/>
          <w:caps w:val="0"/>
          <w:sz w:val="22"/>
          <w:szCs w:val="22"/>
          <w:lang w:eastAsia="en-US"/>
        </w:rPr>
      </w:pPr>
      <w:r>
        <w:t>2.4.</w:t>
      </w:r>
      <w:r>
        <w:rPr>
          <w:rFonts w:asciiTheme="minorHAnsi" w:eastAsiaTheme="minorEastAsia" w:hAnsiTheme="minorHAnsi" w:cstheme="minorBidi"/>
          <w:caps w:val="0"/>
          <w:sz w:val="22"/>
          <w:szCs w:val="22"/>
          <w:lang w:eastAsia="en-US"/>
        </w:rPr>
        <w:tab/>
      </w:r>
      <w:r>
        <w:t>Forward-Looking Transmission Tariff Models</w:t>
      </w:r>
      <w:r>
        <w:tab/>
      </w:r>
      <w:r>
        <w:fldChar w:fldCharType="begin"/>
      </w:r>
      <w:r>
        <w:instrText xml:space="preserve"> PAGEREF _Toc524014077 \h </w:instrText>
      </w:r>
      <w:r>
        <w:fldChar w:fldCharType="separate"/>
      </w:r>
      <w:r>
        <w:t>11</w:t>
      </w:r>
      <w:r>
        <w:fldChar w:fldCharType="end"/>
      </w:r>
    </w:p>
    <w:p w14:paraId="1942EAEC" w14:textId="66C34A64" w:rsidR="00AE77EC" w:rsidRDefault="00AE77EC">
      <w:pPr>
        <w:pStyle w:val="TOC2"/>
        <w:rPr>
          <w:rFonts w:asciiTheme="minorHAnsi" w:eastAsiaTheme="minorEastAsia" w:hAnsiTheme="minorHAnsi" w:cstheme="minorBidi"/>
          <w:caps w:val="0"/>
          <w:sz w:val="22"/>
          <w:szCs w:val="22"/>
          <w:lang w:eastAsia="en-US"/>
        </w:rPr>
      </w:pPr>
      <w:r>
        <w:t>2.5.</w:t>
      </w:r>
      <w:r>
        <w:rPr>
          <w:rFonts w:asciiTheme="minorHAnsi" w:eastAsiaTheme="minorEastAsia" w:hAnsiTheme="minorHAnsi" w:cstheme="minorBidi"/>
          <w:caps w:val="0"/>
          <w:sz w:val="22"/>
          <w:szCs w:val="22"/>
          <w:lang w:eastAsia="en-US"/>
        </w:rPr>
        <w:tab/>
      </w:r>
      <w:r>
        <w:t>Nodal Pricing</w:t>
      </w:r>
      <w:r>
        <w:tab/>
      </w:r>
      <w:r>
        <w:fldChar w:fldCharType="begin"/>
      </w:r>
      <w:r>
        <w:instrText xml:space="preserve"> PAGEREF _Toc524014078 \h </w:instrText>
      </w:r>
      <w:r>
        <w:fldChar w:fldCharType="separate"/>
      </w:r>
      <w:r>
        <w:t>12</w:t>
      </w:r>
      <w:r>
        <w:fldChar w:fldCharType="end"/>
      </w:r>
    </w:p>
    <w:p w14:paraId="373B2019" w14:textId="77B8EF0A" w:rsidR="00AE77EC" w:rsidRDefault="00AE77EC">
      <w:pPr>
        <w:pStyle w:val="TOC2"/>
        <w:rPr>
          <w:rFonts w:asciiTheme="minorHAnsi" w:eastAsiaTheme="minorEastAsia" w:hAnsiTheme="minorHAnsi" w:cstheme="minorBidi"/>
          <w:caps w:val="0"/>
          <w:sz w:val="22"/>
          <w:szCs w:val="22"/>
          <w:lang w:eastAsia="en-US"/>
        </w:rPr>
      </w:pPr>
      <w:r>
        <w:t>2.6.</w:t>
      </w:r>
      <w:r>
        <w:rPr>
          <w:rFonts w:asciiTheme="minorHAnsi" w:eastAsiaTheme="minorEastAsia" w:hAnsiTheme="minorHAnsi" w:cstheme="minorBidi"/>
          <w:caps w:val="0"/>
          <w:sz w:val="22"/>
          <w:szCs w:val="22"/>
          <w:lang w:eastAsia="en-US"/>
        </w:rPr>
        <w:tab/>
      </w:r>
      <w:r>
        <w:t>Zonal Pricing or Entry-Exit Pricing</w:t>
      </w:r>
      <w:r>
        <w:tab/>
      </w:r>
      <w:r>
        <w:fldChar w:fldCharType="begin"/>
      </w:r>
      <w:r>
        <w:instrText xml:space="preserve"> PAGEREF _Toc524014079 \h </w:instrText>
      </w:r>
      <w:r>
        <w:fldChar w:fldCharType="separate"/>
      </w:r>
      <w:r>
        <w:t>13</w:t>
      </w:r>
      <w:r>
        <w:fldChar w:fldCharType="end"/>
      </w:r>
    </w:p>
    <w:p w14:paraId="724B3A0B" w14:textId="6489C57F" w:rsidR="00AE77EC" w:rsidRDefault="00AE77EC">
      <w:pPr>
        <w:pStyle w:val="TOC2"/>
        <w:rPr>
          <w:rFonts w:asciiTheme="minorHAnsi" w:eastAsiaTheme="minorEastAsia" w:hAnsiTheme="minorHAnsi" w:cstheme="minorBidi"/>
          <w:caps w:val="0"/>
          <w:sz w:val="22"/>
          <w:szCs w:val="22"/>
          <w:lang w:eastAsia="en-US"/>
        </w:rPr>
      </w:pPr>
      <w:r>
        <w:t>2.7.</w:t>
      </w:r>
      <w:r>
        <w:rPr>
          <w:rFonts w:asciiTheme="minorHAnsi" w:eastAsiaTheme="minorEastAsia" w:hAnsiTheme="minorHAnsi" w:cstheme="minorBidi"/>
          <w:caps w:val="0"/>
          <w:sz w:val="22"/>
          <w:szCs w:val="22"/>
          <w:lang w:eastAsia="en-US"/>
        </w:rPr>
        <w:tab/>
      </w:r>
      <w:r>
        <w:t>Power Flow Tracing Based on Proportional Sharing Method</w:t>
      </w:r>
      <w:r>
        <w:tab/>
      </w:r>
      <w:r>
        <w:fldChar w:fldCharType="begin"/>
      </w:r>
      <w:r>
        <w:instrText xml:space="preserve"> PAGEREF _Toc524014080 \h </w:instrText>
      </w:r>
      <w:r>
        <w:fldChar w:fldCharType="separate"/>
      </w:r>
      <w:r>
        <w:t>13</w:t>
      </w:r>
      <w:r>
        <w:fldChar w:fldCharType="end"/>
      </w:r>
    </w:p>
    <w:p w14:paraId="4AFEA577" w14:textId="1BF1983F" w:rsidR="00AE77EC" w:rsidRDefault="00AE77EC">
      <w:pPr>
        <w:pStyle w:val="TOC2"/>
        <w:rPr>
          <w:rFonts w:asciiTheme="minorHAnsi" w:eastAsiaTheme="minorEastAsia" w:hAnsiTheme="minorHAnsi" w:cstheme="minorBidi"/>
          <w:caps w:val="0"/>
          <w:sz w:val="22"/>
          <w:szCs w:val="22"/>
          <w:lang w:eastAsia="en-US"/>
        </w:rPr>
      </w:pPr>
      <w:r>
        <w:t>2.8.</w:t>
      </w:r>
      <w:r>
        <w:rPr>
          <w:rFonts w:asciiTheme="minorHAnsi" w:eastAsiaTheme="minorEastAsia" w:hAnsiTheme="minorHAnsi" w:cstheme="minorBidi"/>
          <w:caps w:val="0"/>
          <w:sz w:val="22"/>
          <w:szCs w:val="22"/>
          <w:lang w:eastAsia="en-US"/>
        </w:rPr>
        <w:tab/>
      </w:r>
      <w:r>
        <w:t>Equivalent Bilateral Exchange (EBE) Method</w:t>
      </w:r>
      <w:r>
        <w:tab/>
      </w:r>
      <w:r>
        <w:fldChar w:fldCharType="begin"/>
      </w:r>
      <w:r>
        <w:instrText xml:space="preserve"> PAGEREF _Toc524014081 \h </w:instrText>
      </w:r>
      <w:r>
        <w:fldChar w:fldCharType="separate"/>
      </w:r>
      <w:r>
        <w:t>13</w:t>
      </w:r>
      <w:r>
        <w:fldChar w:fldCharType="end"/>
      </w:r>
    </w:p>
    <w:p w14:paraId="261EAE9C" w14:textId="719A7D2A" w:rsidR="00AE77EC" w:rsidRDefault="00AE77EC" w:rsidP="00AE77EC">
      <w:pPr>
        <w:pStyle w:val="TOC1"/>
        <w:rPr>
          <w:rFonts w:asciiTheme="minorHAnsi" w:eastAsiaTheme="minorEastAsia" w:hAnsiTheme="minorHAnsi" w:cstheme="minorBidi"/>
          <w:color w:val="auto"/>
          <w:sz w:val="22"/>
          <w:szCs w:val="22"/>
          <w:lang w:eastAsia="en-US"/>
        </w:rPr>
      </w:pPr>
      <w:r>
        <w:t>3.</w:t>
      </w:r>
      <w:r>
        <w:rPr>
          <w:rFonts w:asciiTheme="minorHAnsi" w:eastAsiaTheme="minorEastAsia" w:hAnsiTheme="minorHAnsi" w:cstheme="minorBidi"/>
          <w:color w:val="auto"/>
          <w:sz w:val="22"/>
          <w:szCs w:val="22"/>
          <w:lang w:eastAsia="en-US"/>
        </w:rPr>
        <w:tab/>
      </w:r>
      <w:r>
        <w:t>Process for Applying a Transmission Tariff Methodology</w:t>
      </w:r>
      <w:r>
        <w:tab/>
      </w:r>
      <w:r>
        <w:fldChar w:fldCharType="begin"/>
      </w:r>
      <w:r>
        <w:instrText xml:space="preserve"> PAGEREF _Toc524014082 \h </w:instrText>
      </w:r>
      <w:r>
        <w:fldChar w:fldCharType="separate"/>
      </w:r>
      <w:r>
        <w:t>14</w:t>
      </w:r>
      <w:r>
        <w:fldChar w:fldCharType="end"/>
      </w:r>
    </w:p>
    <w:p w14:paraId="021D4B20" w14:textId="411C2D74" w:rsidR="00AE77EC" w:rsidRDefault="00AE77EC">
      <w:pPr>
        <w:pStyle w:val="TOC2"/>
        <w:rPr>
          <w:rFonts w:asciiTheme="minorHAnsi" w:eastAsiaTheme="minorEastAsia" w:hAnsiTheme="minorHAnsi" w:cstheme="minorBidi"/>
          <w:caps w:val="0"/>
          <w:sz w:val="22"/>
          <w:szCs w:val="22"/>
          <w:lang w:eastAsia="en-US"/>
        </w:rPr>
      </w:pPr>
      <w:r>
        <w:t>3.1.</w:t>
      </w:r>
      <w:r>
        <w:rPr>
          <w:rFonts w:asciiTheme="minorHAnsi" w:eastAsiaTheme="minorEastAsia" w:hAnsiTheme="minorHAnsi" w:cstheme="minorBidi"/>
          <w:caps w:val="0"/>
          <w:sz w:val="22"/>
          <w:szCs w:val="22"/>
          <w:lang w:eastAsia="en-US"/>
        </w:rPr>
        <w:tab/>
      </w:r>
      <w:r>
        <w:t>Cross-border Transmission Pricing and Tariff Models</w:t>
      </w:r>
      <w:r>
        <w:tab/>
      </w:r>
      <w:r>
        <w:fldChar w:fldCharType="begin"/>
      </w:r>
      <w:r>
        <w:instrText xml:space="preserve"> PAGEREF _Toc524014083 \h </w:instrText>
      </w:r>
      <w:r>
        <w:fldChar w:fldCharType="separate"/>
      </w:r>
      <w:r>
        <w:t>14</w:t>
      </w:r>
      <w:r>
        <w:fldChar w:fldCharType="end"/>
      </w:r>
    </w:p>
    <w:p w14:paraId="38D7C3CC" w14:textId="6A5E7A39" w:rsidR="00AE77EC" w:rsidRDefault="00AE77EC">
      <w:pPr>
        <w:pStyle w:val="TOC2"/>
        <w:rPr>
          <w:rFonts w:asciiTheme="minorHAnsi" w:eastAsiaTheme="minorEastAsia" w:hAnsiTheme="minorHAnsi" w:cstheme="minorBidi"/>
          <w:caps w:val="0"/>
          <w:sz w:val="22"/>
          <w:szCs w:val="22"/>
          <w:lang w:eastAsia="en-US"/>
        </w:rPr>
      </w:pPr>
      <w:r>
        <w:t>3.2.</w:t>
      </w:r>
      <w:r>
        <w:rPr>
          <w:rFonts w:asciiTheme="minorHAnsi" w:eastAsiaTheme="minorEastAsia" w:hAnsiTheme="minorHAnsi" w:cstheme="minorBidi"/>
          <w:caps w:val="0"/>
          <w:sz w:val="22"/>
          <w:szCs w:val="22"/>
          <w:lang w:eastAsia="en-US"/>
        </w:rPr>
        <w:tab/>
      </w:r>
      <w:r>
        <w:t>Transmission Tariff Approval Process</w:t>
      </w:r>
      <w:r>
        <w:tab/>
      </w:r>
      <w:r>
        <w:fldChar w:fldCharType="begin"/>
      </w:r>
      <w:r>
        <w:instrText xml:space="preserve"> PAGEREF _Toc524014084 \h </w:instrText>
      </w:r>
      <w:r>
        <w:fldChar w:fldCharType="separate"/>
      </w:r>
      <w:r>
        <w:t>14</w:t>
      </w:r>
      <w:r>
        <w:fldChar w:fldCharType="end"/>
      </w:r>
    </w:p>
    <w:p w14:paraId="487F334A" w14:textId="0C79540D" w:rsidR="00AE77EC" w:rsidRDefault="00AE77EC">
      <w:pPr>
        <w:pStyle w:val="TOC2"/>
        <w:rPr>
          <w:rFonts w:asciiTheme="minorHAnsi" w:eastAsiaTheme="minorEastAsia" w:hAnsiTheme="minorHAnsi" w:cstheme="minorBidi"/>
          <w:caps w:val="0"/>
          <w:sz w:val="22"/>
          <w:szCs w:val="22"/>
          <w:lang w:eastAsia="en-US"/>
        </w:rPr>
      </w:pPr>
      <w:r>
        <w:t>3.3.</w:t>
      </w:r>
      <w:r>
        <w:rPr>
          <w:rFonts w:asciiTheme="minorHAnsi" w:eastAsiaTheme="minorEastAsia" w:hAnsiTheme="minorHAnsi" w:cstheme="minorBidi"/>
          <w:caps w:val="0"/>
          <w:sz w:val="22"/>
          <w:szCs w:val="22"/>
          <w:lang w:eastAsia="en-US"/>
        </w:rPr>
        <w:tab/>
      </w:r>
      <w:r>
        <w:t>Procedures for Review and Modification of Tariffs</w:t>
      </w:r>
      <w:r>
        <w:tab/>
      </w:r>
      <w:r>
        <w:fldChar w:fldCharType="begin"/>
      </w:r>
      <w:r>
        <w:instrText xml:space="preserve"> PAGEREF _Toc524014085 \h </w:instrText>
      </w:r>
      <w:r>
        <w:fldChar w:fldCharType="separate"/>
      </w:r>
      <w:r>
        <w:t>14</w:t>
      </w:r>
      <w:r>
        <w:fldChar w:fldCharType="end"/>
      </w:r>
    </w:p>
    <w:p w14:paraId="52DF87FB" w14:textId="3177AD21" w:rsidR="00AE77EC" w:rsidRDefault="00AE77EC">
      <w:pPr>
        <w:pStyle w:val="TOC2"/>
        <w:rPr>
          <w:rFonts w:asciiTheme="minorHAnsi" w:eastAsiaTheme="minorEastAsia" w:hAnsiTheme="minorHAnsi" w:cstheme="minorBidi"/>
          <w:caps w:val="0"/>
          <w:sz w:val="22"/>
          <w:szCs w:val="22"/>
          <w:lang w:eastAsia="en-US"/>
        </w:rPr>
      </w:pPr>
      <w:r>
        <w:t>3.4.</w:t>
      </w:r>
      <w:r>
        <w:rPr>
          <w:rFonts w:asciiTheme="minorHAnsi" w:eastAsiaTheme="minorEastAsia" w:hAnsiTheme="minorHAnsi" w:cstheme="minorBidi"/>
          <w:caps w:val="0"/>
          <w:sz w:val="22"/>
          <w:szCs w:val="22"/>
          <w:lang w:eastAsia="en-US"/>
        </w:rPr>
        <w:tab/>
      </w:r>
      <w:r>
        <w:t>Revenue Collection and Payment Mechanisms</w:t>
      </w:r>
      <w:r>
        <w:tab/>
      </w:r>
      <w:r>
        <w:fldChar w:fldCharType="begin"/>
      </w:r>
      <w:r>
        <w:instrText xml:space="preserve"> PAGEREF _Toc524014086 \h </w:instrText>
      </w:r>
      <w:r>
        <w:fldChar w:fldCharType="separate"/>
      </w:r>
      <w:r>
        <w:t>14</w:t>
      </w:r>
      <w:r>
        <w:fldChar w:fldCharType="end"/>
      </w:r>
    </w:p>
    <w:p w14:paraId="647089D0" w14:textId="4F9A824C" w:rsidR="00AE77EC" w:rsidRDefault="00AE77EC" w:rsidP="00AE77EC">
      <w:pPr>
        <w:pStyle w:val="TOC1"/>
        <w:rPr>
          <w:rFonts w:asciiTheme="minorHAnsi" w:eastAsiaTheme="minorEastAsia" w:hAnsiTheme="minorHAnsi" w:cstheme="minorBidi"/>
          <w:color w:val="auto"/>
          <w:sz w:val="22"/>
          <w:szCs w:val="22"/>
          <w:lang w:eastAsia="en-US"/>
        </w:rPr>
      </w:pPr>
      <w:r>
        <w:t>4.</w:t>
      </w:r>
      <w:r>
        <w:rPr>
          <w:rFonts w:asciiTheme="minorHAnsi" w:eastAsiaTheme="minorEastAsia" w:hAnsiTheme="minorHAnsi" w:cstheme="minorBidi"/>
          <w:color w:val="auto"/>
          <w:sz w:val="22"/>
          <w:szCs w:val="22"/>
          <w:lang w:eastAsia="en-US"/>
        </w:rPr>
        <w:tab/>
      </w:r>
      <w:r>
        <w:t>review of international practice for Cross-border Transmission Tariffs</w:t>
      </w:r>
      <w:r>
        <w:tab/>
      </w:r>
      <w:r>
        <w:fldChar w:fldCharType="begin"/>
      </w:r>
      <w:r>
        <w:instrText xml:space="preserve"> PAGEREF _Toc524014087 \h </w:instrText>
      </w:r>
      <w:r>
        <w:fldChar w:fldCharType="separate"/>
      </w:r>
      <w:r>
        <w:t>15</w:t>
      </w:r>
      <w:r>
        <w:fldChar w:fldCharType="end"/>
      </w:r>
    </w:p>
    <w:p w14:paraId="4C63E467" w14:textId="513D430A" w:rsidR="00AE77EC" w:rsidRDefault="00AE77EC">
      <w:pPr>
        <w:pStyle w:val="TOC2"/>
        <w:rPr>
          <w:rFonts w:asciiTheme="minorHAnsi" w:eastAsiaTheme="minorEastAsia" w:hAnsiTheme="minorHAnsi" w:cstheme="minorBidi"/>
          <w:caps w:val="0"/>
          <w:sz w:val="22"/>
          <w:szCs w:val="22"/>
          <w:lang w:eastAsia="en-US"/>
        </w:rPr>
      </w:pPr>
      <w:r>
        <w:t>4.1.</w:t>
      </w:r>
      <w:r>
        <w:rPr>
          <w:rFonts w:asciiTheme="minorHAnsi" w:eastAsiaTheme="minorEastAsia" w:hAnsiTheme="minorHAnsi" w:cstheme="minorBidi"/>
          <w:caps w:val="0"/>
          <w:sz w:val="22"/>
          <w:szCs w:val="22"/>
          <w:lang w:eastAsia="en-US"/>
        </w:rPr>
        <w:tab/>
      </w:r>
      <w:r>
        <w:t>West Africa Power Pool (WAPP)</w:t>
      </w:r>
      <w:r>
        <w:tab/>
      </w:r>
      <w:r>
        <w:fldChar w:fldCharType="begin"/>
      </w:r>
      <w:r>
        <w:instrText xml:space="preserve"> PAGEREF _Toc524014088 \h </w:instrText>
      </w:r>
      <w:r>
        <w:fldChar w:fldCharType="separate"/>
      </w:r>
      <w:r>
        <w:t>15</w:t>
      </w:r>
      <w:r>
        <w:fldChar w:fldCharType="end"/>
      </w:r>
    </w:p>
    <w:p w14:paraId="2F3E1637" w14:textId="4A0FE8A8" w:rsidR="00AE77EC" w:rsidRDefault="00AE77EC">
      <w:pPr>
        <w:pStyle w:val="TOC2"/>
        <w:rPr>
          <w:rFonts w:asciiTheme="minorHAnsi" w:eastAsiaTheme="minorEastAsia" w:hAnsiTheme="minorHAnsi" w:cstheme="minorBidi"/>
          <w:caps w:val="0"/>
          <w:sz w:val="22"/>
          <w:szCs w:val="22"/>
          <w:lang w:eastAsia="en-US"/>
        </w:rPr>
      </w:pPr>
      <w:r>
        <w:t>4.2.</w:t>
      </w:r>
      <w:r>
        <w:rPr>
          <w:rFonts w:asciiTheme="minorHAnsi" w:eastAsiaTheme="minorEastAsia" w:hAnsiTheme="minorHAnsi" w:cstheme="minorBidi"/>
          <w:caps w:val="0"/>
          <w:sz w:val="22"/>
          <w:szCs w:val="22"/>
          <w:lang w:eastAsia="en-US"/>
        </w:rPr>
        <w:tab/>
      </w:r>
      <w:r>
        <w:t>European Network of Transmission System Operators for Electricity (ENTSO-E)</w:t>
      </w:r>
      <w:r>
        <w:tab/>
      </w:r>
      <w:r>
        <w:fldChar w:fldCharType="begin"/>
      </w:r>
      <w:r>
        <w:instrText xml:space="preserve"> PAGEREF _Toc524014089 \h </w:instrText>
      </w:r>
      <w:r>
        <w:fldChar w:fldCharType="separate"/>
      </w:r>
      <w:r>
        <w:t>15</w:t>
      </w:r>
      <w:r>
        <w:fldChar w:fldCharType="end"/>
      </w:r>
    </w:p>
    <w:p w14:paraId="7BE70ACD" w14:textId="060AFEBE" w:rsidR="00AE77EC" w:rsidRDefault="00AE77EC">
      <w:pPr>
        <w:pStyle w:val="TOC2"/>
        <w:rPr>
          <w:rFonts w:asciiTheme="minorHAnsi" w:eastAsiaTheme="minorEastAsia" w:hAnsiTheme="minorHAnsi" w:cstheme="minorBidi"/>
          <w:caps w:val="0"/>
          <w:sz w:val="22"/>
          <w:szCs w:val="22"/>
          <w:lang w:eastAsia="en-US"/>
        </w:rPr>
      </w:pPr>
      <w:r>
        <w:t>4.3.</w:t>
      </w:r>
      <w:r>
        <w:rPr>
          <w:rFonts w:asciiTheme="minorHAnsi" w:eastAsiaTheme="minorEastAsia" w:hAnsiTheme="minorHAnsi" w:cstheme="minorBidi"/>
          <w:caps w:val="0"/>
          <w:sz w:val="22"/>
          <w:szCs w:val="22"/>
          <w:lang w:eastAsia="en-US"/>
        </w:rPr>
        <w:tab/>
      </w:r>
      <w:r>
        <w:t>National Grid of Great Britain</w:t>
      </w:r>
      <w:r>
        <w:tab/>
      </w:r>
      <w:r>
        <w:fldChar w:fldCharType="begin"/>
      </w:r>
      <w:r>
        <w:instrText xml:space="preserve"> PAGEREF _Toc524014090 \h </w:instrText>
      </w:r>
      <w:r>
        <w:fldChar w:fldCharType="separate"/>
      </w:r>
      <w:r>
        <w:t>16</w:t>
      </w:r>
      <w:r>
        <w:fldChar w:fldCharType="end"/>
      </w:r>
    </w:p>
    <w:p w14:paraId="69965DF8" w14:textId="44E6CF51" w:rsidR="00AE77EC" w:rsidRDefault="00AE77EC">
      <w:pPr>
        <w:pStyle w:val="TOC2"/>
        <w:rPr>
          <w:rFonts w:asciiTheme="minorHAnsi" w:eastAsiaTheme="minorEastAsia" w:hAnsiTheme="minorHAnsi" w:cstheme="minorBidi"/>
          <w:caps w:val="0"/>
          <w:sz w:val="22"/>
          <w:szCs w:val="22"/>
          <w:lang w:eastAsia="en-US"/>
        </w:rPr>
      </w:pPr>
      <w:r>
        <w:t>4.4.</w:t>
      </w:r>
      <w:r>
        <w:rPr>
          <w:rFonts w:asciiTheme="minorHAnsi" w:eastAsiaTheme="minorEastAsia" w:hAnsiTheme="minorHAnsi" w:cstheme="minorBidi"/>
          <w:caps w:val="0"/>
          <w:sz w:val="22"/>
          <w:szCs w:val="22"/>
          <w:lang w:eastAsia="en-US"/>
        </w:rPr>
        <w:tab/>
      </w:r>
      <w:r>
        <w:t>PJM</w:t>
      </w:r>
      <w:r>
        <w:tab/>
      </w:r>
      <w:r>
        <w:fldChar w:fldCharType="begin"/>
      </w:r>
      <w:r>
        <w:instrText xml:space="preserve"> PAGEREF _Toc524014091 \h </w:instrText>
      </w:r>
      <w:r>
        <w:fldChar w:fldCharType="separate"/>
      </w:r>
      <w:r>
        <w:t>16</w:t>
      </w:r>
      <w:r>
        <w:fldChar w:fldCharType="end"/>
      </w:r>
    </w:p>
    <w:p w14:paraId="489FEAE7" w14:textId="02A6263E" w:rsidR="00AE77EC" w:rsidRDefault="00AE77EC">
      <w:pPr>
        <w:pStyle w:val="TOC2"/>
        <w:rPr>
          <w:rFonts w:asciiTheme="minorHAnsi" w:eastAsiaTheme="minorEastAsia" w:hAnsiTheme="minorHAnsi" w:cstheme="minorBidi"/>
          <w:caps w:val="0"/>
          <w:sz w:val="22"/>
          <w:szCs w:val="22"/>
          <w:lang w:eastAsia="en-US"/>
        </w:rPr>
      </w:pPr>
      <w:r>
        <w:t>4.5.</w:t>
      </w:r>
      <w:r>
        <w:rPr>
          <w:rFonts w:asciiTheme="minorHAnsi" w:eastAsiaTheme="minorEastAsia" w:hAnsiTheme="minorHAnsi" w:cstheme="minorBidi"/>
          <w:caps w:val="0"/>
          <w:sz w:val="22"/>
          <w:szCs w:val="22"/>
          <w:lang w:eastAsia="en-US"/>
        </w:rPr>
        <w:tab/>
      </w:r>
      <w:r>
        <w:t>Nord Pool</w:t>
      </w:r>
      <w:r>
        <w:tab/>
      </w:r>
      <w:r>
        <w:fldChar w:fldCharType="begin"/>
      </w:r>
      <w:r>
        <w:instrText xml:space="preserve"> PAGEREF _Toc524014092 \h </w:instrText>
      </w:r>
      <w:r>
        <w:fldChar w:fldCharType="separate"/>
      </w:r>
      <w:r>
        <w:t>17</w:t>
      </w:r>
      <w:r>
        <w:fldChar w:fldCharType="end"/>
      </w:r>
    </w:p>
    <w:p w14:paraId="3A038AC4" w14:textId="1F5F6AAC" w:rsidR="00AE77EC" w:rsidRDefault="00AE77EC" w:rsidP="00AE77EC">
      <w:pPr>
        <w:pStyle w:val="TOC1"/>
        <w:rPr>
          <w:rFonts w:asciiTheme="minorHAnsi" w:eastAsiaTheme="minorEastAsia" w:hAnsiTheme="minorHAnsi" w:cstheme="minorBidi"/>
          <w:color w:val="auto"/>
          <w:sz w:val="22"/>
          <w:szCs w:val="22"/>
          <w:lang w:eastAsia="en-US"/>
        </w:rPr>
      </w:pPr>
      <w:r>
        <w:t>5.</w:t>
      </w:r>
      <w:r>
        <w:rPr>
          <w:rFonts w:asciiTheme="minorHAnsi" w:eastAsiaTheme="minorEastAsia" w:hAnsiTheme="minorHAnsi" w:cstheme="minorBidi"/>
          <w:color w:val="auto"/>
          <w:sz w:val="22"/>
          <w:szCs w:val="22"/>
          <w:lang w:eastAsia="en-US"/>
        </w:rPr>
        <w:tab/>
      </w:r>
      <w:r>
        <w:t>Review of Cross-Border Transmission Tariff Approaches used in SAPP and pilot countries</w:t>
      </w:r>
      <w:r>
        <w:tab/>
      </w:r>
      <w:r>
        <w:fldChar w:fldCharType="begin"/>
      </w:r>
      <w:r>
        <w:instrText xml:space="preserve"> PAGEREF _Toc524014093 \h </w:instrText>
      </w:r>
      <w:r>
        <w:fldChar w:fldCharType="separate"/>
      </w:r>
      <w:r>
        <w:t>18</w:t>
      </w:r>
      <w:r>
        <w:fldChar w:fldCharType="end"/>
      </w:r>
    </w:p>
    <w:p w14:paraId="34EF5BCB" w14:textId="18216B34" w:rsidR="00AE77EC" w:rsidRDefault="00AE77EC">
      <w:pPr>
        <w:pStyle w:val="TOC2"/>
        <w:rPr>
          <w:rFonts w:asciiTheme="minorHAnsi" w:eastAsiaTheme="minorEastAsia" w:hAnsiTheme="minorHAnsi" w:cstheme="minorBidi"/>
          <w:caps w:val="0"/>
          <w:sz w:val="22"/>
          <w:szCs w:val="22"/>
          <w:lang w:eastAsia="en-US"/>
        </w:rPr>
      </w:pPr>
      <w:r>
        <w:t>5.1.</w:t>
      </w:r>
      <w:r>
        <w:rPr>
          <w:rFonts w:asciiTheme="minorHAnsi" w:eastAsiaTheme="minorEastAsia" w:hAnsiTheme="minorHAnsi" w:cstheme="minorBidi"/>
          <w:caps w:val="0"/>
          <w:sz w:val="22"/>
          <w:szCs w:val="22"/>
          <w:lang w:eastAsia="en-US"/>
        </w:rPr>
        <w:tab/>
      </w:r>
      <w:r>
        <w:t>Postage Stamp Methodology (1995-1998)</w:t>
      </w:r>
      <w:r>
        <w:tab/>
      </w:r>
      <w:r>
        <w:fldChar w:fldCharType="begin"/>
      </w:r>
      <w:r>
        <w:instrText xml:space="preserve"> PAGEREF _Toc524014094 \h </w:instrText>
      </w:r>
      <w:r>
        <w:fldChar w:fldCharType="separate"/>
      </w:r>
      <w:r>
        <w:t>18</w:t>
      </w:r>
      <w:r>
        <w:fldChar w:fldCharType="end"/>
      </w:r>
    </w:p>
    <w:p w14:paraId="5DA14560" w14:textId="5E4D797F" w:rsidR="00AE77EC" w:rsidRDefault="00AE77EC">
      <w:pPr>
        <w:pStyle w:val="TOC2"/>
        <w:rPr>
          <w:rFonts w:asciiTheme="minorHAnsi" w:eastAsiaTheme="minorEastAsia" w:hAnsiTheme="minorHAnsi" w:cstheme="minorBidi"/>
          <w:caps w:val="0"/>
          <w:sz w:val="22"/>
          <w:szCs w:val="22"/>
          <w:lang w:eastAsia="en-US"/>
        </w:rPr>
      </w:pPr>
      <w:r>
        <w:t>5.2.</w:t>
      </w:r>
      <w:r>
        <w:rPr>
          <w:rFonts w:asciiTheme="minorHAnsi" w:eastAsiaTheme="minorEastAsia" w:hAnsiTheme="minorHAnsi" w:cstheme="minorBidi"/>
          <w:caps w:val="0"/>
          <w:sz w:val="22"/>
          <w:szCs w:val="22"/>
          <w:lang w:eastAsia="en-US"/>
        </w:rPr>
        <w:tab/>
      </w:r>
      <w:r>
        <w:t>MW-km Load-flow Methodology (1999-2015)</w:t>
      </w:r>
      <w:r>
        <w:tab/>
      </w:r>
      <w:r>
        <w:fldChar w:fldCharType="begin"/>
      </w:r>
      <w:r>
        <w:instrText xml:space="preserve"> PAGEREF _Toc524014095 \h </w:instrText>
      </w:r>
      <w:r>
        <w:fldChar w:fldCharType="separate"/>
      </w:r>
      <w:r>
        <w:t>18</w:t>
      </w:r>
      <w:r>
        <w:fldChar w:fldCharType="end"/>
      </w:r>
    </w:p>
    <w:p w14:paraId="0EEF4A6C" w14:textId="209E8513" w:rsidR="00AE77EC" w:rsidRDefault="00AE77EC">
      <w:pPr>
        <w:pStyle w:val="TOC2"/>
        <w:rPr>
          <w:rFonts w:asciiTheme="minorHAnsi" w:eastAsiaTheme="minorEastAsia" w:hAnsiTheme="minorHAnsi" w:cstheme="minorBidi"/>
          <w:caps w:val="0"/>
          <w:sz w:val="22"/>
          <w:szCs w:val="22"/>
          <w:lang w:eastAsia="en-US"/>
        </w:rPr>
      </w:pPr>
      <w:r>
        <w:t>5.3.</w:t>
      </w:r>
      <w:r>
        <w:rPr>
          <w:rFonts w:asciiTheme="minorHAnsi" w:eastAsiaTheme="minorEastAsia" w:hAnsiTheme="minorHAnsi" w:cstheme="minorBidi"/>
          <w:caps w:val="0"/>
          <w:sz w:val="22"/>
          <w:szCs w:val="22"/>
          <w:lang w:eastAsia="en-US"/>
        </w:rPr>
        <w:tab/>
      </w:r>
      <w:r>
        <w:t>Development of a New Transmission Tariff Methodology (2016-Present)</w:t>
      </w:r>
      <w:r>
        <w:tab/>
      </w:r>
      <w:r>
        <w:fldChar w:fldCharType="begin"/>
      </w:r>
      <w:r>
        <w:instrText xml:space="preserve"> PAGEREF _Toc524014096 \h </w:instrText>
      </w:r>
      <w:r>
        <w:fldChar w:fldCharType="separate"/>
      </w:r>
      <w:r>
        <w:t>19</w:t>
      </w:r>
      <w:r>
        <w:fldChar w:fldCharType="end"/>
      </w:r>
    </w:p>
    <w:p w14:paraId="0D06BCD9" w14:textId="682FE999" w:rsidR="00AE77EC" w:rsidRDefault="00AE77EC" w:rsidP="00AE77EC">
      <w:pPr>
        <w:pStyle w:val="TOC1"/>
        <w:rPr>
          <w:rFonts w:asciiTheme="minorHAnsi" w:eastAsiaTheme="minorEastAsia" w:hAnsiTheme="minorHAnsi" w:cstheme="minorBidi"/>
          <w:color w:val="auto"/>
          <w:sz w:val="22"/>
          <w:szCs w:val="22"/>
          <w:lang w:eastAsia="en-US"/>
        </w:rPr>
      </w:pPr>
      <w:r>
        <w:t>6.</w:t>
      </w:r>
      <w:r>
        <w:rPr>
          <w:rFonts w:asciiTheme="minorHAnsi" w:eastAsiaTheme="minorEastAsia" w:hAnsiTheme="minorHAnsi" w:cstheme="minorBidi"/>
          <w:color w:val="auto"/>
          <w:sz w:val="22"/>
          <w:szCs w:val="22"/>
          <w:lang w:eastAsia="en-US"/>
        </w:rPr>
        <w:tab/>
      </w:r>
      <w:r>
        <w:t>Review of Existing Agreements and Guidelines in SAPP and pilot countries</w:t>
      </w:r>
      <w:r>
        <w:tab/>
      </w:r>
      <w:r>
        <w:fldChar w:fldCharType="begin"/>
      </w:r>
      <w:r>
        <w:instrText xml:space="preserve"> PAGEREF _Toc524014097 \h </w:instrText>
      </w:r>
      <w:r>
        <w:fldChar w:fldCharType="separate"/>
      </w:r>
      <w:r>
        <w:t>22</w:t>
      </w:r>
      <w:r>
        <w:fldChar w:fldCharType="end"/>
      </w:r>
    </w:p>
    <w:p w14:paraId="5687795E" w14:textId="467FA4E5" w:rsidR="00AE77EC" w:rsidRDefault="00AE77EC">
      <w:pPr>
        <w:pStyle w:val="TOC2"/>
        <w:rPr>
          <w:rFonts w:asciiTheme="minorHAnsi" w:eastAsiaTheme="minorEastAsia" w:hAnsiTheme="minorHAnsi" w:cstheme="minorBidi"/>
          <w:caps w:val="0"/>
          <w:sz w:val="22"/>
          <w:szCs w:val="22"/>
          <w:lang w:eastAsia="en-US"/>
        </w:rPr>
      </w:pPr>
      <w:r>
        <w:t>6.1.</w:t>
      </w:r>
      <w:r>
        <w:rPr>
          <w:rFonts w:asciiTheme="minorHAnsi" w:eastAsiaTheme="minorEastAsia" w:hAnsiTheme="minorHAnsi" w:cstheme="minorBidi"/>
          <w:caps w:val="0"/>
          <w:sz w:val="22"/>
          <w:szCs w:val="22"/>
          <w:lang w:eastAsia="en-US"/>
        </w:rPr>
        <w:tab/>
      </w:r>
      <w:r>
        <w:t>SAPP Market Overview</w:t>
      </w:r>
      <w:r>
        <w:tab/>
      </w:r>
      <w:r>
        <w:fldChar w:fldCharType="begin"/>
      </w:r>
      <w:r>
        <w:instrText xml:space="preserve"> PAGEREF _Toc524014098 \h </w:instrText>
      </w:r>
      <w:r>
        <w:fldChar w:fldCharType="separate"/>
      </w:r>
      <w:r>
        <w:t>22</w:t>
      </w:r>
      <w:r>
        <w:fldChar w:fldCharType="end"/>
      </w:r>
    </w:p>
    <w:p w14:paraId="2647EF41" w14:textId="1275951E" w:rsidR="00AE77EC" w:rsidRDefault="00AE77EC">
      <w:pPr>
        <w:pStyle w:val="TOC2"/>
        <w:rPr>
          <w:rFonts w:asciiTheme="minorHAnsi" w:eastAsiaTheme="minorEastAsia" w:hAnsiTheme="minorHAnsi" w:cstheme="minorBidi"/>
          <w:caps w:val="0"/>
          <w:sz w:val="22"/>
          <w:szCs w:val="22"/>
          <w:lang w:eastAsia="en-US"/>
        </w:rPr>
      </w:pPr>
      <w:r>
        <w:t>6.2.</w:t>
      </w:r>
      <w:r>
        <w:rPr>
          <w:rFonts w:asciiTheme="minorHAnsi" w:eastAsiaTheme="minorEastAsia" w:hAnsiTheme="minorHAnsi" w:cstheme="minorBidi"/>
          <w:caps w:val="0"/>
          <w:sz w:val="22"/>
          <w:szCs w:val="22"/>
          <w:lang w:eastAsia="en-US"/>
        </w:rPr>
        <w:tab/>
      </w:r>
      <w:r>
        <w:t>Pilot Country Overview</w:t>
      </w:r>
      <w:r>
        <w:tab/>
      </w:r>
      <w:r>
        <w:fldChar w:fldCharType="begin"/>
      </w:r>
      <w:r>
        <w:instrText xml:space="preserve"> PAGEREF _Toc524014099 \h </w:instrText>
      </w:r>
      <w:r>
        <w:fldChar w:fldCharType="separate"/>
      </w:r>
      <w:r>
        <w:t>24</w:t>
      </w:r>
      <w:r>
        <w:fldChar w:fldCharType="end"/>
      </w:r>
    </w:p>
    <w:p w14:paraId="30B25DDE" w14:textId="492B36F3" w:rsidR="00AE77EC" w:rsidRDefault="00AE77EC">
      <w:pPr>
        <w:pStyle w:val="TOC2"/>
        <w:rPr>
          <w:rFonts w:asciiTheme="minorHAnsi" w:eastAsiaTheme="minorEastAsia" w:hAnsiTheme="minorHAnsi" w:cstheme="minorBidi"/>
          <w:caps w:val="0"/>
          <w:sz w:val="22"/>
          <w:szCs w:val="22"/>
          <w:lang w:eastAsia="en-US"/>
        </w:rPr>
      </w:pPr>
      <w:r>
        <w:t>6.3.</w:t>
      </w:r>
      <w:r>
        <w:rPr>
          <w:rFonts w:asciiTheme="minorHAnsi" w:eastAsiaTheme="minorEastAsia" w:hAnsiTheme="minorHAnsi" w:cstheme="minorBidi"/>
          <w:caps w:val="0"/>
          <w:sz w:val="22"/>
          <w:szCs w:val="22"/>
          <w:lang w:eastAsia="en-US"/>
        </w:rPr>
        <w:tab/>
      </w:r>
      <w:r>
        <w:t>Laws and Regulations Governing Cross-Border Transmission Pricing</w:t>
      </w:r>
      <w:r>
        <w:tab/>
      </w:r>
      <w:r>
        <w:fldChar w:fldCharType="begin"/>
      </w:r>
      <w:r>
        <w:instrText xml:space="preserve"> PAGEREF _Toc524014100 \h </w:instrText>
      </w:r>
      <w:r>
        <w:fldChar w:fldCharType="separate"/>
      </w:r>
      <w:r>
        <w:t>24</w:t>
      </w:r>
      <w:r>
        <w:fldChar w:fldCharType="end"/>
      </w:r>
    </w:p>
    <w:p w14:paraId="45C7CB8A" w14:textId="3CF6D3B6" w:rsidR="00AE77EC" w:rsidRDefault="00AE77EC" w:rsidP="00AE77EC">
      <w:pPr>
        <w:pStyle w:val="TOC1"/>
        <w:rPr>
          <w:rFonts w:asciiTheme="minorHAnsi" w:eastAsiaTheme="minorEastAsia" w:hAnsiTheme="minorHAnsi" w:cstheme="minorBidi"/>
          <w:color w:val="auto"/>
          <w:sz w:val="22"/>
          <w:szCs w:val="22"/>
          <w:lang w:eastAsia="en-US"/>
        </w:rPr>
      </w:pPr>
      <w:r>
        <w:t>7.</w:t>
      </w:r>
      <w:r>
        <w:rPr>
          <w:rFonts w:asciiTheme="minorHAnsi" w:eastAsiaTheme="minorEastAsia" w:hAnsiTheme="minorHAnsi" w:cstheme="minorBidi"/>
          <w:color w:val="auto"/>
          <w:sz w:val="22"/>
          <w:szCs w:val="22"/>
          <w:lang w:eastAsia="en-US"/>
        </w:rPr>
        <w:tab/>
      </w:r>
      <w:r>
        <w:t>USE OF THE ZIZABONA Transmission Line as a basis for developing A transmission pricing framework for sapp</w:t>
      </w:r>
      <w:r>
        <w:tab/>
      </w:r>
      <w:r>
        <w:fldChar w:fldCharType="begin"/>
      </w:r>
      <w:r>
        <w:instrText xml:space="preserve"> PAGEREF _Toc524014101 \h </w:instrText>
      </w:r>
      <w:r>
        <w:fldChar w:fldCharType="separate"/>
      </w:r>
      <w:r>
        <w:t>26</w:t>
      </w:r>
      <w:r>
        <w:fldChar w:fldCharType="end"/>
      </w:r>
    </w:p>
    <w:p w14:paraId="1CD84853" w14:textId="63C4E579" w:rsidR="00AE77EC" w:rsidRDefault="00AE77EC" w:rsidP="00AE77EC">
      <w:pPr>
        <w:pStyle w:val="TOC1"/>
        <w:rPr>
          <w:rFonts w:asciiTheme="minorHAnsi" w:eastAsiaTheme="minorEastAsia" w:hAnsiTheme="minorHAnsi" w:cstheme="minorBidi"/>
          <w:color w:val="auto"/>
          <w:sz w:val="22"/>
          <w:szCs w:val="22"/>
          <w:lang w:eastAsia="en-US"/>
        </w:rPr>
      </w:pPr>
      <w:r>
        <w:t>8.</w:t>
      </w:r>
      <w:r>
        <w:rPr>
          <w:rFonts w:asciiTheme="minorHAnsi" w:eastAsiaTheme="minorEastAsia" w:hAnsiTheme="minorHAnsi" w:cstheme="minorBidi"/>
          <w:color w:val="auto"/>
          <w:sz w:val="22"/>
          <w:szCs w:val="22"/>
          <w:lang w:eastAsia="en-US"/>
        </w:rPr>
        <w:tab/>
      </w:r>
      <w:r>
        <w:t>Next Steps in the Development of Transmission Tariff Mechanisms for Southern Africa</w:t>
      </w:r>
      <w:r>
        <w:tab/>
      </w:r>
      <w:r>
        <w:fldChar w:fldCharType="begin"/>
      </w:r>
      <w:r>
        <w:instrText xml:space="preserve"> PAGEREF _Toc524014102 \h </w:instrText>
      </w:r>
      <w:r>
        <w:fldChar w:fldCharType="separate"/>
      </w:r>
      <w:r>
        <w:t>28</w:t>
      </w:r>
      <w:r>
        <w:fldChar w:fldCharType="end"/>
      </w:r>
    </w:p>
    <w:p w14:paraId="305B4DCD" w14:textId="79E10827" w:rsidR="00AE77EC" w:rsidRDefault="00AE77EC" w:rsidP="00AE77EC">
      <w:pPr>
        <w:pStyle w:val="TOC1"/>
        <w:rPr>
          <w:rFonts w:asciiTheme="minorHAnsi" w:eastAsiaTheme="minorEastAsia" w:hAnsiTheme="minorHAnsi" w:cstheme="minorBidi"/>
          <w:color w:val="auto"/>
          <w:sz w:val="22"/>
          <w:szCs w:val="22"/>
          <w:lang w:eastAsia="en-US"/>
        </w:rPr>
      </w:pPr>
      <w:r>
        <w:t>Annex A: SAPP WHEELING CHARGES - 1 JANUARY 2016 TO 31 DECEMBER 2016</w:t>
      </w:r>
      <w:r>
        <w:tab/>
      </w:r>
      <w:r>
        <w:fldChar w:fldCharType="begin"/>
      </w:r>
      <w:r>
        <w:instrText xml:space="preserve"> PAGEREF _Toc524014103 \h </w:instrText>
      </w:r>
      <w:r>
        <w:fldChar w:fldCharType="separate"/>
      </w:r>
      <w:r>
        <w:t>29</w:t>
      </w:r>
      <w:r>
        <w:fldChar w:fldCharType="end"/>
      </w:r>
    </w:p>
    <w:p w14:paraId="39C48D69" w14:textId="2152BC9E" w:rsidR="00AE77EC" w:rsidRDefault="00AE77EC" w:rsidP="00AE77EC">
      <w:pPr>
        <w:pStyle w:val="TOC1"/>
        <w:rPr>
          <w:rFonts w:asciiTheme="minorHAnsi" w:eastAsiaTheme="minorEastAsia" w:hAnsiTheme="minorHAnsi" w:cstheme="minorBidi"/>
          <w:color w:val="auto"/>
          <w:sz w:val="22"/>
          <w:szCs w:val="22"/>
          <w:lang w:eastAsia="en-US"/>
        </w:rPr>
      </w:pPr>
      <w:r>
        <w:t>Annex B: Discussion with Stakeholders</w:t>
      </w:r>
      <w:r>
        <w:tab/>
      </w:r>
      <w:r>
        <w:fldChar w:fldCharType="begin"/>
      </w:r>
      <w:r>
        <w:instrText xml:space="preserve"> PAGEREF _Toc524014104 \h </w:instrText>
      </w:r>
      <w:r>
        <w:fldChar w:fldCharType="separate"/>
      </w:r>
      <w:r>
        <w:t>32</w:t>
      </w:r>
      <w:r>
        <w:fldChar w:fldCharType="end"/>
      </w:r>
    </w:p>
    <w:p w14:paraId="4471CA1D" w14:textId="39FC77D9" w:rsidR="00AE77EC" w:rsidRDefault="00AE77EC">
      <w:pPr>
        <w:pStyle w:val="TOC2"/>
        <w:rPr>
          <w:rFonts w:asciiTheme="minorHAnsi" w:eastAsiaTheme="minorEastAsia" w:hAnsiTheme="minorHAnsi" w:cstheme="minorBidi"/>
          <w:caps w:val="0"/>
          <w:sz w:val="22"/>
          <w:szCs w:val="22"/>
          <w:lang w:eastAsia="en-US"/>
        </w:rPr>
      </w:pPr>
      <w:r>
        <w:t>Summary of Discussion with Stakeholders on Cross-border Transmission Tariffs</w:t>
      </w:r>
      <w:r>
        <w:tab/>
      </w:r>
      <w:r>
        <w:fldChar w:fldCharType="begin"/>
      </w:r>
      <w:r>
        <w:instrText xml:space="preserve"> PAGEREF _Toc524014105 \h </w:instrText>
      </w:r>
      <w:r>
        <w:fldChar w:fldCharType="separate"/>
      </w:r>
      <w:r>
        <w:t>32</w:t>
      </w:r>
      <w:r>
        <w:fldChar w:fldCharType="end"/>
      </w:r>
    </w:p>
    <w:p w14:paraId="15536B11" w14:textId="7D959DC8" w:rsidR="00A7004B" w:rsidRPr="00864A34" w:rsidRDefault="008E447E" w:rsidP="00195722">
      <w:pPr>
        <w:tabs>
          <w:tab w:val="right" w:leader="dot" w:pos="9360"/>
        </w:tabs>
        <w:autoSpaceDE w:val="0"/>
        <w:autoSpaceDN w:val="0"/>
        <w:adjustRightInd w:val="0"/>
        <w:spacing w:after="0"/>
        <w:jc w:val="left"/>
        <w:rPr>
          <w:rFonts w:cs="Arial"/>
          <w:sz w:val="24"/>
          <w:szCs w:val="24"/>
          <w:lang w:eastAsia="en-US"/>
        </w:rPr>
      </w:pPr>
      <w:r w:rsidRPr="00864A34">
        <w:rPr>
          <w:rFonts w:cs="Arial"/>
          <w:sz w:val="24"/>
          <w:szCs w:val="24"/>
          <w:lang w:eastAsia="en-US"/>
        </w:rPr>
        <w:fldChar w:fldCharType="end"/>
      </w:r>
      <w:bookmarkStart w:id="1" w:name="_Toc346009075"/>
      <w:bookmarkEnd w:id="0"/>
    </w:p>
    <w:p w14:paraId="3C3F3462" w14:textId="77777777" w:rsidR="00195722" w:rsidRPr="00864A34" w:rsidRDefault="00195722" w:rsidP="00195722">
      <w:pPr>
        <w:tabs>
          <w:tab w:val="right" w:leader="dot" w:pos="9360"/>
        </w:tabs>
        <w:autoSpaceDE w:val="0"/>
        <w:autoSpaceDN w:val="0"/>
        <w:adjustRightInd w:val="0"/>
        <w:spacing w:after="0"/>
        <w:jc w:val="left"/>
        <w:rPr>
          <w:rFonts w:cs="Arial"/>
          <w:sz w:val="24"/>
          <w:szCs w:val="24"/>
        </w:rPr>
      </w:pPr>
    </w:p>
    <w:p w14:paraId="4A61DD49" w14:textId="6E06F5AF" w:rsidR="005D54DC" w:rsidRDefault="005D54DC">
      <w:pPr>
        <w:spacing w:after="0"/>
        <w:jc w:val="left"/>
        <w:rPr>
          <w:rFonts w:cs="Arial"/>
          <w:color w:val="002776" w:themeColor="accent1"/>
          <w:sz w:val="36"/>
        </w:rPr>
      </w:pPr>
    </w:p>
    <w:p w14:paraId="1C0C38FB" w14:textId="77777777" w:rsidR="00894C30" w:rsidRPr="00864A34" w:rsidRDefault="00894C30">
      <w:pPr>
        <w:spacing w:after="0"/>
        <w:jc w:val="left"/>
        <w:rPr>
          <w:rFonts w:cs="Arial"/>
          <w:color w:val="002776" w:themeColor="accent1"/>
          <w:sz w:val="36"/>
        </w:rPr>
      </w:pPr>
    </w:p>
    <w:p w14:paraId="277327AA" w14:textId="77777777" w:rsidR="005617FF" w:rsidRPr="00864A34" w:rsidRDefault="005617FF" w:rsidP="005617FF">
      <w:pPr>
        <w:pStyle w:val="Title"/>
        <w:rPr>
          <w:rFonts w:ascii="Arial" w:hAnsi="Arial" w:cs="Arial"/>
          <w:color w:val="002776" w:themeColor="accent1"/>
        </w:rPr>
      </w:pPr>
      <w:r w:rsidRPr="00864A34">
        <w:rPr>
          <w:rFonts w:ascii="Arial" w:hAnsi="Arial" w:cs="Arial"/>
          <w:color w:val="002776" w:themeColor="accent1"/>
        </w:rPr>
        <w:lastRenderedPageBreak/>
        <w:t>Acronyms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526"/>
        <w:gridCol w:w="7609"/>
      </w:tblGrid>
      <w:tr w:rsidR="00485F40" w:rsidRPr="00864A34" w14:paraId="19C18E1A" w14:textId="77777777" w:rsidTr="00350ADD">
        <w:tc>
          <w:tcPr>
            <w:tcW w:w="1526" w:type="dxa"/>
            <w:shd w:val="clear" w:color="auto" w:fill="FFFFFF" w:themeFill="background1"/>
          </w:tcPr>
          <w:p w14:paraId="728C5392" w14:textId="776C550C" w:rsidR="00485F40" w:rsidRPr="00EB5E8B" w:rsidRDefault="00485F40" w:rsidP="00E71A25">
            <w:pPr>
              <w:pStyle w:val="TableText"/>
              <w:spacing w:beforeLines="0" w:before="40" w:afterLines="0" w:after="40"/>
              <w:rPr>
                <w:rFonts w:ascii="Arial" w:hAnsi="Arial" w:cs="Arial"/>
                <w:sz w:val="22"/>
                <w:szCs w:val="22"/>
              </w:rPr>
            </w:pPr>
            <w:r>
              <w:rPr>
                <w:rFonts w:ascii="Arial" w:hAnsi="Arial" w:cs="Arial"/>
                <w:sz w:val="22"/>
                <w:szCs w:val="22"/>
              </w:rPr>
              <w:t>AfDB</w:t>
            </w:r>
          </w:p>
        </w:tc>
        <w:tc>
          <w:tcPr>
            <w:tcW w:w="7609" w:type="dxa"/>
            <w:shd w:val="clear" w:color="auto" w:fill="FFFFFF" w:themeFill="background1"/>
          </w:tcPr>
          <w:p w14:paraId="0C6F028D" w14:textId="27DD6A0D" w:rsidR="00485F40" w:rsidRPr="00EB5E8B" w:rsidRDefault="00485F40" w:rsidP="00E71A25">
            <w:pPr>
              <w:pStyle w:val="TableText"/>
              <w:spacing w:beforeLines="0" w:before="40" w:afterLines="0" w:after="40"/>
              <w:rPr>
                <w:rFonts w:ascii="Arial" w:hAnsi="Arial" w:cs="Arial"/>
                <w:sz w:val="22"/>
                <w:szCs w:val="22"/>
              </w:rPr>
            </w:pPr>
            <w:r>
              <w:rPr>
                <w:rFonts w:ascii="Arial" w:hAnsi="Arial" w:cs="Arial"/>
                <w:sz w:val="22"/>
                <w:szCs w:val="22"/>
              </w:rPr>
              <w:t>African Development Bank</w:t>
            </w:r>
          </w:p>
        </w:tc>
      </w:tr>
      <w:tr w:rsidR="00E71A25" w:rsidRPr="00864A34" w14:paraId="45296359" w14:textId="77777777" w:rsidTr="00350ADD">
        <w:tc>
          <w:tcPr>
            <w:tcW w:w="1526" w:type="dxa"/>
            <w:shd w:val="clear" w:color="auto" w:fill="FFFFFF" w:themeFill="background1"/>
          </w:tcPr>
          <w:p w14:paraId="07C57F0D" w14:textId="77777777" w:rsidR="00E71A25" w:rsidRPr="00EB5E8B" w:rsidRDefault="00E71A25" w:rsidP="00E71A25">
            <w:pPr>
              <w:pStyle w:val="TableText"/>
              <w:spacing w:beforeLines="0" w:before="40" w:afterLines="0" w:after="40"/>
              <w:rPr>
                <w:rFonts w:ascii="Arial" w:hAnsi="Arial" w:cs="Arial"/>
                <w:sz w:val="22"/>
                <w:szCs w:val="22"/>
              </w:rPr>
            </w:pPr>
            <w:r w:rsidRPr="00EB5E8B">
              <w:rPr>
                <w:rFonts w:ascii="Arial" w:hAnsi="Arial" w:cs="Arial"/>
                <w:sz w:val="22"/>
                <w:szCs w:val="22"/>
              </w:rPr>
              <w:t>BPA</w:t>
            </w:r>
          </w:p>
        </w:tc>
        <w:tc>
          <w:tcPr>
            <w:tcW w:w="7609" w:type="dxa"/>
            <w:shd w:val="clear" w:color="auto" w:fill="FFFFFF" w:themeFill="background1"/>
          </w:tcPr>
          <w:p w14:paraId="3EA7C47A" w14:textId="77777777" w:rsidR="00E71A25" w:rsidRPr="00EB5E8B" w:rsidRDefault="00E71A25" w:rsidP="00E71A25">
            <w:pPr>
              <w:pStyle w:val="TableText"/>
              <w:spacing w:beforeLines="0" w:before="40" w:afterLines="0" w:after="40"/>
              <w:rPr>
                <w:rFonts w:ascii="Arial" w:hAnsi="Arial" w:cs="Arial"/>
                <w:sz w:val="22"/>
                <w:szCs w:val="22"/>
              </w:rPr>
            </w:pPr>
            <w:r w:rsidRPr="00EB5E8B">
              <w:rPr>
                <w:rFonts w:ascii="Arial" w:hAnsi="Arial" w:cs="Arial"/>
                <w:sz w:val="22"/>
                <w:szCs w:val="22"/>
              </w:rPr>
              <w:t>Blanket Purchase Agreement</w:t>
            </w:r>
          </w:p>
        </w:tc>
      </w:tr>
      <w:tr w:rsidR="006E7847" w:rsidRPr="00864A34" w14:paraId="2F8E1617" w14:textId="77777777" w:rsidTr="00350ADD">
        <w:tc>
          <w:tcPr>
            <w:tcW w:w="1526" w:type="dxa"/>
            <w:shd w:val="clear" w:color="auto" w:fill="FFFFFF" w:themeFill="background1"/>
          </w:tcPr>
          <w:p w14:paraId="5FD51DCE" w14:textId="77777777" w:rsidR="006E7847" w:rsidRPr="00EB5E8B" w:rsidRDefault="006E7847" w:rsidP="00E71A25">
            <w:pPr>
              <w:pStyle w:val="TableText"/>
              <w:spacing w:beforeLines="0" w:before="40" w:afterLines="0" w:after="40"/>
              <w:rPr>
                <w:rFonts w:ascii="Arial" w:hAnsi="Arial" w:cs="Arial"/>
                <w:sz w:val="22"/>
                <w:szCs w:val="22"/>
              </w:rPr>
            </w:pPr>
            <w:r>
              <w:rPr>
                <w:rFonts w:ascii="Arial" w:hAnsi="Arial" w:cs="Arial"/>
                <w:sz w:val="22"/>
                <w:szCs w:val="22"/>
              </w:rPr>
              <w:t>DAM</w:t>
            </w:r>
          </w:p>
        </w:tc>
        <w:tc>
          <w:tcPr>
            <w:tcW w:w="7609" w:type="dxa"/>
            <w:shd w:val="clear" w:color="auto" w:fill="FFFFFF" w:themeFill="background1"/>
          </w:tcPr>
          <w:p w14:paraId="0DE544D3" w14:textId="77777777" w:rsidR="006E7847" w:rsidRPr="00EB5E8B" w:rsidRDefault="009C4AFB" w:rsidP="00E71A25">
            <w:pPr>
              <w:pStyle w:val="TableText"/>
              <w:spacing w:beforeLines="0" w:before="40" w:afterLines="0" w:after="40"/>
              <w:rPr>
                <w:rFonts w:ascii="Arial" w:hAnsi="Arial" w:cs="Arial"/>
                <w:sz w:val="22"/>
                <w:szCs w:val="22"/>
              </w:rPr>
            </w:pPr>
            <w:r>
              <w:rPr>
                <w:rFonts w:ascii="Arial" w:hAnsi="Arial" w:cs="Arial"/>
                <w:sz w:val="22"/>
                <w:szCs w:val="22"/>
              </w:rPr>
              <w:t xml:space="preserve">Day </w:t>
            </w:r>
            <w:r w:rsidR="006E7847">
              <w:rPr>
                <w:rFonts w:ascii="Arial" w:hAnsi="Arial" w:cs="Arial"/>
                <w:sz w:val="22"/>
                <w:szCs w:val="22"/>
              </w:rPr>
              <w:t>Ahead Market</w:t>
            </w:r>
          </w:p>
        </w:tc>
      </w:tr>
      <w:tr w:rsidR="00E71A25" w:rsidRPr="00864A34" w14:paraId="106EDD96" w14:textId="77777777" w:rsidTr="00350ADD">
        <w:tc>
          <w:tcPr>
            <w:tcW w:w="1526" w:type="dxa"/>
            <w:shd w:val="clear" w:color="auto" w:fill="FFFFFF" w:themeFill="background1"/>
          </w:tcPr>
          <w:p w14:paraId="78F2361C" w14:textId="77777777" w:rsidR="00E71A25" w:rsidRPr="00EB5E8B" w:rsidRDefault="00E71A25" w:rsidP="00E71A25">
            <w:pPr>
              <w:pStyle w:val="TableText"/>
              <w:spacing w:beforeLines="0" w:before="40" w:afterLines="0" w:after="40"/>
              <w:rPr>
                <w:rFonts w:ascii="Arial" w:hAnsi="Arial" w:cs="Arial"/>
                <w:sz w:val="22"/>
                <w:szCs w:val="22"/>
              </w:rPr>
            </w:pPr>
            <w:r w:rsidRPr="00EB5E8B">
              <w:rPr>
                <w:rFonts w:ascii="Arial" w:hAnsi="Arial" w:cs="Arial"/>
                <w:sz w:val="22"/>
                <w:szCs w:val="22"/>
              </w:rPr>
              <w:t>DOS</w:t>
            </w:r>
          </w:p>
        </w:tc>
        <w:tc>
          <w:tcPr>
            <w:tcW w:w="7609" w:type="dxa"/>
            <w:shd w:val="clear" w:color="auto" w:fill="FFFFFF" w:themeFill="background1"/>
          </w:tcPr>
          <w:p w14:paraId="7F12D47E" w14:textId="01966685" w:rsidR="00E71A25" w:rsidRPr="00EB5E8B" w:rsidRDefault="00467A6F" w:rsidP="00E71A25">
            <w:pPr>
              <w:pStyle w:val="TableText"/>
              <w:spacing w:beforeLines="0" w:before="40" w:afterLines="0" w:after="40"/>
              <w:rPr>
                <w:rFonts w:ascii="Arial" w:hAnsi="Arial" w:cs="Arial"/>
                <w:sz w:val="22"/>
                <w:szCs w:val="22"/>
              </w:rPr>
            </w:pPr>
            <w:r>
              <w:rPr>
                <w:rFonts w:ascii="Arial" w:hAnsi="Arial" w:cs="Arial"/>
                <w:sz w:val="22"/>
                <w:szCs w:val="22"/>
              </w:rPr>
              <w:t xml:space="preserve">U.S. </w:t>
            </w:r>
            <w:r w:rsidR="00E71A25" w:rsidRPr="00EB5E8B">
              <w:rPr>
                <w:rFonts w:ascii="Arial" w:hAnsi="Arial" w:cs="Arial"/>
                <w:sz w:val="22"/>
                <w:szCs w:val="22"/>
              </w:rPr>
              <w:t>Department of State</w:t>
            </w:r>
          </w:p>
        </w:tc>
      </w:tr>
      <w:tr w:rsidR="00E71A25" w:rsidRPr="00864A34" w14:paraId="0DF45CAB" w14:textId="77777777" w:rsidTr="00350ADD">
        <w:tc>
          <w:tcPr>
            <w:tcW w:w="1526" w:type="dxa"/>
            <w:shd w:val="clear" w:color="auto" w:fill="FFFFFF" w:themeFill="background1"/>
          </w:tcPr>
          <w:p w14:paraId="0837880E" w14:textId="77777777" w:rsidR="00E71A25" w:rsidRPr="00EB5E8B" w:rsidRDefault="00E71A25" w:rsidP="00E71A25">
            <w:pPr>
              <w:pStyle w:val="TableText"/>
              <w:spacing w:beforeLines="0" w:before="40" w:afterLines="0" w:after="40"/>
              <w:rPr>
                <w:rFonts w:ascii="Arial" w:hAnsi="Arial" w:cs="Arial"/>
                <w:sz w:val="22"/>
                <w:szCs w:val="22"/>
                <w:lang w:val="es-ES"/>
              </w:rPr>
            </w:pPr>
            <w:r w:rsidRPr="00EB5E8B">
              <w:rPr>
                <w:rFonts w:ascii="Arial" w:hAnsi="Arial" w:cs="Arial"/>
                <w:sz w:val="22"/>
                <w:szCs w:val="22"/>
                <w:lang w:val="es-ES"/>
              </w:rPr>
              <w:t>ENR</w:t>
            </w:r>
          </w:p>
        </w:tc>
        <w:tc>
          <w:tcPr>
            <w:tcW w:w="7609" w:type="dxa"/>
            <w:shd w:val="clear" w:color="auto" w:fill="FFFFFF" w:themeFill="background1"/>
          </w:tcPr>
          <w:p w14:paraId="556B3C47" w14:textId="77777777" w:rsidR="00E71A25" w:rsidRPr="00EB5E8B" w:rsidRDefault="00E71A25" w:rsidP="00E71A25">
            <w:pPr>
              <w:pStyle w:val="TableText"/>
              <w:spacing w:beforeLines="0" w:before="40" w:afterLines="0" w:after="40"/>
              <w:rPr>
                <w:rFonts w:ascii="Arial" w:hAnsi="Arial" w:cs="Arial"/>
                <w:sz w:val="22"/>
                <w:szCs w:val="22"/>
              </w:rPr>
            </w:pPr>
            <w:r w:rsidRPr="00EB5E8B">
              <w:rPr>
                <w:rFonts w:ascii="Arial" w:hAnsi="Arial" w:cs="Arial"/>
                <w:sz w:val="22"/>
                <w:szCs w:val="22"/>
              </w:rPr>
              <w:t>Bureau of Energy Resources</w:t>
            </w:r>
          </w:p>
        </w:tc>
      </w:tr>
      <w:tr w:rsidR="00742D58" w:rsidRPr="00864A34" w14:paraId="0FCFCDE2" w14:textId="77777777" w:rsidTr="00350ADD">
        <w:tc>
          <w:tcPr>
            <w:tcW w:w="1526" w:type="dxa"/>
            <w:shd w:val="clear" w:color="auto" w:fill="FFFFFF" w:themeFill="background1"/>
          </w:tcPr>
          <w:p w14:paraId="59479A95" w14:textId="3498A683" w:rsidR="00742D58" w:rsidRPr="00EB5E8B" w:rsidRDefault="00742D58" w:rsidP="00E71A25">
            <w:pPr>
              <w:pStyle w:val="TableText"/>
              <w:spacing w:beforeLines="0" w:before="40" w:afterLines="0" w:after="40"/>
              <w:rPr>
                <w:rFonts w:ascii="Arial" w:hAnsi="Arial" w:cs="Arial"/>
                <w:sz w:val="22"/>
                <w:szCs w:val="22"/>
                <w:lang w:val="es-ES"/>
              </w:rPr>
            </w:pPr>
            <w:r>
              <w:rPr>
                <w:rFonts w:ascii="Arial" w:hAnsi="Arial" w:cs="Arial"/>
                <w:sz w:val="22"/>
                <w:szCs w:val="22"/>
                <w:lang w:val="es-ES"/>
              </w:rPr>
              <w:t>ENTSO-E</w:t>
            </w:r>
          </w:p>
        </w:tc>
        <w:tc>
          <w:tcPr>
            <w:tcW w:w="7609" w:type="dxa"/>
            <w:shd w:val="clear" w:color="auto" w:fill="FFFFFF" w:themeFill="background1"/>
          </w:tcPr>
          <w:p w14:paraId="2B023C4B" w14:textId="54EFDECB" w:rsidR="00742D58" w:rsidRPr="00EB5E8B" w:rsidRDefault="00742D58" w:rsidP="00E71A25">
            <w:pPr>
              <w:pStyle w:val="TableText"/>
              <w:spacing w:beforeLines="0" w:before="40" w:afterLines="0" w:after="40"/>
              <w:rPr>
                <w:rFonts w:ascii="Arial" w:hAnsi="Arial" w:cs="Arial"/>
                <w:sz w:val="22"/>
                <w:szCs w:val="22"/>
              </w:rPr>
            </w:pPr>
            <w:r w:rsidRPr="00742D58">
              <w:rPr>
                <w:rFonts w:ascii="Arial" w:hAnsi="Arial" w:cs="Arial"/>
                <w:sz w:val="22"/>
                <w:szCs w:val="22"/>
              </w:rPr>
              <w:t>European Network of Transmission System Operators for Electricity</w:t>
            </w:r>
          </w:p>
        </w:tc>
      </w:tr>
      <w:tr w:rsidR="00595440" w:rsidRPr="00864A34" w14:paraId="51942DF3" w14:textId="77777777" w:rsidTr="00350ADD">
        <w:tc>
          <w:tcPr>
            <w:tcW w:w="1526" w:type="dxa"/>
            <w:shd w:val="clear" w:color="auto" w:fill="FFFFFF" w:themeFill="background1"/>
          </w:tcPr>
          <w:p w14:paraId="7737F5EA" w14:textId="5013D498" w:rsidR="00595440" w:rsidRDefault="00595440" w:rsidP="00595440">
            <w:pPr>
              <w:pStyle w:val="TableText"/>
              <w:spacing w:beforeLines="0" w:before="40" w:afterLines="0" w:after="40"/>
              <w:rPr>
                <w:rFonts w:ascii="Arial" w:hAnsi="Arial" w:cs="Arial"/>
                <w:sz w:val="22"/>
                <w:szCs w:val="22"/>
                <w:lang w:val="es-ES"/>
              </w:rPr>
            </w:pPr>
            <w:r>
              <w:rPr>
                <w:rFonts w:ascii="Arial" w:hAnsi="Arial" w:cs="Arial"/>
                <w:sz w:val="22"/>
                <w:szCs w:val="22"/>
              </w:rPr>
              <w:t>ERERA</w:t>
            </w:r>
          </w:p>
        </w:tc>
        <w:tc>
          <w:tcPr>
            <w:tcW w:w="7609" w:type="dxa"/>
            <w:shd w:val="clear" w:color="auto" w:fill="FFFFFF" w:themeFill="background1"/>
          </w:tcPr>
          <w:p w14:paraId="38E202DA" w14:textId="23CFA00A" w:rsidR="00595440" w:rsidRPr="00742D58" w:rsidRDefault="00595440" w:rsidP="00595440">
            <w:pPr>
              <w:pStyle w:val="TableText"/>
              <w:spacing w:beforeLines="0" w:before="40" w:afterLines="0" w:after="40"/>
              <w:rPr>
                <w:rFonts w:ascii="Arial" w:hAnsi="Arial" w:cs="Arial"/>
                <w:sz w:val="22"/>
                <w:szCs w:val="22"/>
              </w:rPr>
            </w:pPr>
            <w:r w:rsidRPr="00742D58">
              <w:rPr>
                <w:rFonts w:ascii="Arial" w:hAnsi="Arial" w:cs="Arial"/>
                <w:sz w:val="22"/>
                <w:szCs w:val="22"/>
              </w:rPr>
              <w:t>Economic Community of West African States</w:t>
            </w:r>
            <w:r>
              <w:rPr>
                <w:rFonts w:ascii="Arial" w:hAnsi="Arial" w:cs="Arial"/>
                <w:sz w:val="22"/>
                <w:szCs w:val="22"/>
              </w:rPr>
              <w:t xml:space="preserve"> Regional Electricity Authority</w:t>
            </w:r>
          </w:p>
        </w:tc>
      </w:tr>
      <w:tr w:rsidR="00595440" w:rsidRPr="00864A34" w14:paraId="03B6CF59" w14:textId="77777777" w:rsidTr="00350ADD">
        <w:tc>
          <w:tcPr>
            <w:tcW w:w="1526" w:type="dxa"/>
            <w:shd w:val="clear" w:color="auto" w:fill="FFFFFF" w:themeFill="background1"/>
          </w:tcPr>
          <w:p w14:paraId="7293BCAC" w14:textId="77777777" w:rsidR="00595440" w:rsidRPr="00EB5E8B" w:rsidRDefault="00595440" w:rsidP="00595440">
            <w:pPr>
              <w:pStyle w:val="TableText"/>
              <w:spacing w:beforeLines="0" w:before="40" w:afterLines="0" w:after="40"/>
              <w:rPr>
                <w:rFonts w:ascii="Arial" w:hAnsi="Arial" w:cs="Arial"/>
                <w:sz w:val="22"/>
                <w:szCs w:val="22"/>
                <w:lang w:val="es-ES"/>
              </w:rPr>
            </w:pPr>
            <w:r>
              <w:rPr>
                <w:rFonts w:ascii="Arial" w:hAnsi="Arial" w:cs="Arial"/>
                <w:sz w:val="22"/>
                <w:szCs w:val="22"/>
                <w:lang w:val="es-ES"/>
              </w:rPr>
              <w:t>IDM</w:t>
            </w:r>
          </w:p>
        </w:tc>
        <w:tc>
          <w:tcPr>
            <w:tcW w:w="7609" w:type="dxa"/>
            <w:shd w:val="clear" w:color="auto" w:fill="FFFFFF" w:themeFill="background1"/>
          </w:tcPr>
          <w:p w14:paraId="28BA074D" w14:textId="77777777" w:rsidR="00595440" w:rsidRPr="00EB5E8B"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Intra Day Market</w:t>
            </w:r>
          </w:p>
        </w:tc>
      </w:tr>
      <w:tr w:rsidR="00595440" w:rsidRPr="00864A34" w14:paraId="7F8ED07F" w14:textId="77777777" w:rsidTr="00350ADD">
        <w:tc>
          <w:tcPr>
            <w:tcW w:w="1526" w:type="dxa"/>
            <w:shd w:val="clear" w:color="auto" w:fill="FFFFFF" w:themeFill="background1"/>
          </w:tcPr>
          <w:p w14:paraId="173D298E" w14:textId="77777777" w:rsidR="00595440" w:rsidRPr="00EB5E8B" w:rsidRDefault="00595440" w:rsidP="00595440">
            <w:pPr>
              <w:pStyle w:val="TableText"/>
              <w:spacing w:beforeLines="0" w:before="40" w:afterLines="0" w:after="40"/>
              <w:rPr>
                <w:rFonts w:ascii="Arial" w:hAnsi="Arial" w:cs="Arial"/>
                <w:sz w:val="22"/>
                <w:szCs w:val="22"/>
              </w:rPr>
            </w:pPr>
            <w:r w:rsidRPr="00EB5E8B">
              <w:rPr>
                <w:rFonts w:ascii="Arial" w:hAnsi="Arial" w:cs="Arial"/>
                <w:sz w:val="22"/>
                <w:szCs w:val="22"/>
              </w:rPr>
              <w:t>IPP</w:t>
            </w:r>
          </w:p>
        </w:tc>
        <w:tc>
          <w:tcPr>
            <w:tcW w:w="7609" w:type="dxa"/>
            <w:shd w:val="clear" w:color="auto" w:fill="FFFFFF" w:themeFill="background1"/>
          </w:tcPr>
          <w:p w14:paraId="206FE41C" w14:textId="77777777" w:rsidR="00595440" w:rsidRPr="00EB5E8B" w:rsidRDefault="00595440" w:rsidP="00595440">
            <w:pPr>
              <w:pStyle w:val="TableText"/>
              <w:spacing w:beforeLines="0" w:before="40" w:afterLines="0" w:after="40"/>
              <w:rPr>
                <w:rFonts w:ascii="Arial" w:hAnsi="Arial" w:cs="Arial"/>
                <w:sz w:val="22"/>
                <w:szCs w:val="22"/>
              </w:rPr>
            </w:pPr>
            <w:r w:rsidRPr="00EB5E8B">
              <w:rPr>
                <w:rFonts w:ascii="Arial" w:hAnsi="Arial" w:cs="Arial"/>
                <w:sz w:val="22"/>
                <w:szCs w:val="22"/>
              </w:rPr>
              <w:t>Independent Power Producer</w:t>
            </w:r>
          </w:p>
        </w:tc>
      </w:tr>
      <w:tr w:rsidR="00142EB5" w:rsidRPr="00864A34" w14:paraId="586852D3" w14:textId="77777777" w:rsidTr="00350ADD">
        <w:tc>
          <w:tcPr>
            <w:tcW w:w="1526" w:type="dxa"/>
            <w:shd w:val="clear" w:color="auto" w:fill="FFFFFF" w:themeFill="background1"/>
          </w:tcPr>
          <w:p w14:paraId="5B491162" w14:textId="0202F2C3" w:rsidR="00142EB5" w:rsidRPr="00EB5E8B" w:rsidRDefault="00142EB5" w:rsidP="00595440">
            <w:pPr>
              <w:pStyle w:val="TableText"/>
              <w:spacing w:beforeLines="0" w:before="40" w:afterLines="0" w:after="40"/>
              <w:rPr>
                <w:rFonts w:ascii="Arial" w:hAnsi="Arial" w:cs="Arial"/>
                <w:sz w:val="22"/>
                <w:szCs w:val="22"/>
              </w:rPr>
            </w:pPr>
            <w:r>
              <w:rPr>
                <w:rFonts w:ascii="Arial" w:hAnsi="Arial" w:cs="Arial"/>
                <w:sz w:val="22"/>
                <w:szCs w:val="22"/>
              </w:rPr>
              <w:t>LRIC</w:t>
            </w:r>
          </w:p>
        </w:tc>
        <w:tc>
          <w:tcPr>
            <w:tcW w:w="7609" w:type="dxa"/>
            <w:shd w:val="clear" w:color="auto" w:fill="FFFFFF" w:themeFill="background1"/>
          </w:tcPr>
          <w:p w14:paraId="1D2CBD56" w14:textId="49C99A88" w:rsidR="00142EB5" w:rsidRPr="00EB5E8B" w:rsidRDefault="00142EB5" w:rsidP="00595440">
            <w:pPr>
              <w:pStyle w:val="TableText"/>
              <w:spacing w:beforeLines="0" w:before="40" w:afterLines="0" w:after="40"/>
              <w:rPr>
                <w:rFonts w:ascii="Arial" w:hAnsi="Arial" w:cs="Arial"/>
                <w:sz w:val="22"/>
                <w:szCs w:val="22"/>
              </w:rPr>
            </w:pPr>
            <w:r>
              <w:rPr>
                <w:rFonts w:ascii="Arial" w:hAnsi="Arial" w:cs="Arial"/>
                <w:sz w:val="22"/>
                <w:szCs w:val="22"/>
              </w:rPr>
              <w:t>Long-run Incremental Cost</w:t>
            </w:r>
          </w:p>
        </w:tc>
      </w:tr>
      <w:tr w:rsidR="00DF7F9C" w:rsidRPr="00864A34" w14:paraId="41E4DF8F" w14:textId="77777777" w:rsidTr="00350ADD">
        <w:tc>
          <w:tcPr>
            <w:tcW w:w="1526" w:type="dxa"/>
            <w:shd w:val="clear" w:color="auto" w:fill="FFFFFF" w:themeFill="background1"/>
          </w:tcPr>
          <w:p w14:paraId="38EF76DA" w14:textId="5605E30D" w:rsidR="00DF7F9C" w:rsidRPr="00EB5E8B" w:rsidRDefault="00DF7F9C" w:rsidP="00595440">
            <w:pPr>
              <w:pStyle w:val="TableText"/>
              <w:spacing w:beforeLines="0" w:before="40" w:afterLines="0" w:after="40"/>
              <w:rPr>
                <w:rFonts w:ascii="Arial" w:hAnsi="Arial" w:cs="Arial"/>
                <w:sz w:val="22"/>
                <w:szCs w:val="22"/>
              </w:rPr>
            </w:pPr>
            <w:r>
              <w:rPr>
                <w:rFonts w:ascii="Arial" w:hAnsi="Arial" w:cs="Arial"/>
                <w:sz w:val="22"/>
                <w:szCs w:val="22"/>
              </w:rPr>
              <w:t>LRMC</w:t>
            </w:r>
          </w:p>
        </w:tc>
        <w:tc>
          <w:tcPr>
            <w:tcW w:w="7609" w:type="dxa"/>
            <w:shd w:val="clear" w:color="auto" w:fill="FFFFFF" w:themeFill="background1"/>
          </w:tcPr>
          <w:p w14:paraId="55AF51E0" w14:textId="276F50E2" w:rsidR="00DF7F9C" w:rsidRPr="00EB5E8B" w:rsidRDefault="00142EB5" w:rsidP="00595440">
            <w:pPr>
              <w:pStyle w:val="TableText"/>
              <w:spacing w:beforeLines="0" w:before="40" w:afterLines="0" w:after="40"/>
              <w:rPr>
                <w:rFonts w:ascii="Arial" w:hAnsi="Arial" w:cs="Arial"/>
                <w:sz w:val="22"/>
                <w:szCs w:val="22"/>
              </w:rPr>
            </w:pPr>
            <w:r>
              <w:rPr>
                <w:rFonts w:ascii="Arial" w:hAnsi="Arial" w:cs="Arial"/>
                <w:sz w:val="22"/>
                <w:szCs w:val="22"/>
              </w:rPr>
              <w:t>Long-r</w:t>
            </w:r>
            <w:r w:rsidR="00DF7F9C">
              <w:rPr>
                <w:rFonts w:ascii="Arial" w:hAnsi="Arial" w:cs="Arial"/>
                <w:sz w:val="22"/>
                <w:szCs w:val="22"/>
              </w:rPr>
              <w:t>un Marginal Cost</w:t>
            </w:r>
          </w:p>
        </w:tc>
      </w:tr>
      <w:tr w:rsidR="00595440" w:rsidRPr="00864A34" w14:paraId="0EC0F98F" w14:textId="77777777" w:rsidTr="00350ADD">
        <w:tc>
          <w:tcPr>
            <w:tcW w:w="1526" w:type="dxa"/>
            <w:shd w:val="clear" w:color="auto" w:fill="FFFFFF" w:themeFill="background1"/>
          </w:tcPr>
          <w:p w14:paraId="24E19F89" w14:textId="77777777" w:rsidR="00595440" w:rsidRPr="00EB5E8B" w:rsidRDefault="00595440" w:rsidP="00595440">
            <w:pPr>
              <w:pStyle w:val="TableText"/>
              <w:spacing w:beforeLines="0" w:before="40" w:afterLines="0" w:after="40"/>
              <w:rPr>
                <w:rFonts w:ascii="Arial" w:hAnsi="Arial" w:cs="Arial"/>
                <w:sz w:val="22"/>
                <w:szCs w:val="22"/>
              </w:rPr>
            </w:pPr>
            <w:r w:rsidRPr="00EB5E8B">
              <w:rPr>
                <w:rFonts w:ascii="Arial" w:hAnsi="Arial" w:cs="Arial"/>
                <w:sz w:val="22"/>
                <w:szCs w:val="22"/>
              </w:rPr>
              <w:t>MIF</w:t>
            </w:r>
          </w:p>
        </w:tc>
        <w:tc>
          <w:tcPr>
            <w:tcW w:w="7609" w:type="dxa"/>
            <w:shd w:val="clear" w:color="auto" w:fill="FFFFFF" w:themeFill="background1"/>
          </w:tcPr>
          <w:p w14:paraId="7EB206EF" w14:textId="77777777" w:rsidR="00595440" w:rsidRPr="00EB5E8B" w:rsidRDefault="00595440" w:rsidP="00595440">
            <w:pPr>
              <w:pStyle w:val="TableText"/>
              <w:spacing w:beforeLines="0" w:before="40" w:afterLines="0" w:after="40"/>
              <w:rPr>
                <w:rFonts w:ascii="Arial" w:hAnsi="Arial" w:cs="Arial"/>
                <w:sz w:val="22"/>
                <w:szCs w:val="22"/>
              </w:rPr>
            </w:pPr>
            <w:r w:rsidRPr="00EB5E8B">
              <w:rPr>
                <w:rFonts w:ascii="Arial" w:hAnsi="Arial" w:cs="Arial"/>
                <w:sz w:val="22"/>
                <w:szCs w:val="22"/>
              </w:rPr>
              <w:t>Market and Investment Framework</w:t>
            </w:r>
          </w:p>
        </w:tc>
      </w:tr>
      <w:tr w:rsidR="00595440" w:rsidRPr="00864A34" w14:paraId="31F7FEB2" w14:textId="77777777" w:rsidTr="00350ADD">
        <w:tc>
          <w:tcPr>
            <w:tcW w:w="1526" w:type="dxa"/>
            <w:shd w:val="clear" w:color="auto" w:fill="FFFFFF" w:themeFill="background1"/>
          </w:tcPr>
          <w:p w14:paraId="0D65D659" w14:textId="3F6580CF" w:rsidR="00595440" w:rsidRPr="00EB5E8B"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NGET</w:t>
            </w:r>
          </w:p>
        </w:tc>
        <w:tc>
          <w:tcPr>
            <w:tcW w:w="7609" w:type="dxa"/>
            <w:shd w:val="clear" w:color="auto" w:fill="FFFFFF" w:themeFill="background1"/>
          </w:tcPr>
          <w:p w14:paraId="16DCDC31" w14:textId="04B96ACD" w:rsidR="00595440" w:rsidRPr="00EB5E8B" w:rsidRDefault="00595440" w:rsidP="00595440">
            <w:pPr>
              <w:pStyle w:val="TableText"/>
              <w:spacing w:beforeLines="0" w:before="40" w:afterLines="0" w:after="40"/>
              <w:rPr>
                <w:rFonts w:ascii="Arial" w:hAnsi="Arial" w:cs="Arial"/>
                <w:sz w:val="22"/>
                <w:szCs w:val="22"/>
              </w:rPr>
            </w:pPr>
            <w:r w:rsidRPr="00A8145E">
              <w:rPr>
                <w:rFonts w:ascii="Arial" w:hAnsi="Arial" w:cs="Arial"/>
                <w:sz w:val="22"/>
                <w:szCs w:val="22"/>
              </w:rPr>
              <w:t>National Grid Electricity Transmission PLC</w:t>
            </w:r>
          </w:p>
        </w:tc>
      </w:tr>
      <w:tr w:rsidR="00595440" w:rsidRPr="00864A34" w14:paraId="24C514DA" w14:textId="77777777" w:rsidTr="00350ADD">
        <w:tc>
          <w:tcPr>
            <w:tcW w:w="1526" w:type="dxa"/>
            <w:shd w:val="clear" w:color="auto" w:fill="FFFFFF" w:themeFill="background1"/>
          </w:tcPr>
          <w:p w14:paraId="2C608079" w14:textId="1708B609" w:rsidR="00595440"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POC</w:t>
            </w:r>
          </w:p>
        </w:tc>
        <w:tc>
          <w:tcPr>
            <w:tcW w:w="7609" w:type="dxa"/>
            <w:shd w:val="clear" w:color="auto" w:fill="FFFFFF" w:themeFill="background1"/>
          </w:tcPr>
          <w:p w14:paraId="0D2D7A9A" w14:textId="3CC2D4D4" w:rsidR="00595440" w:rsidRPr="00A8145E"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Point of Connection</w:t>
            </w:r>
          </w:p>
        </w:tc>
      </w:tr>
      <w:tr w:rsidR="00595440" w:rsidRPr="00864A34" w14:paraId="59BEA3B7" w14:textId="77777777" w:rsidTr="00350ADD">
        <w:tc>
          <w:tcPr>
            <w:tcW w:w="1526" w:type="dxa"/>
            <w:shd w:val="clear" w:color="auto" w:fill="FFFFFF" w:themeFill="background1"/>
          </w:tcPr>
          <w:p w14:paraId="1C32AACF" w14:textId="77777777" w:rsidR="00595440" w:rsidRPr="00EB5E8B" w:rsidRDefault="00595440" w:rsidP="00595440">
            <w:pPr>
              <w:pStyle w:val="TableText"/>
              <w:spacing w:beforeLines="0" w:before="40" w:afterLines="0" w:after="40"/>
              <w:rPr>
                <w:rFonts w:ascii="Arial" w:hAnsi="Arial" w:cs="Arial"/>
                <w:sz w:val="22"/>
                <w:szCs w:val="22"/>
              </w:rPr>
            </w:pPr>
            <w:r w:rsidRPr="00EB5E8B">
              <w:rPr>
                <w:rFonts w:ascii="Arial" w:hAnsi="Arial" w:cs="Arial"/>
                <w:sz w:val="22"/>
                <w:szCs w:val="22"/>
              </w:rPr>
              <w:t>RERA</w:t>
            </w:r>
          </w:p>
        </w:tc>
        <w:tc>
          <w:tcPr>
            <w:tcW w:w="7609" w:type="dxa"/>
            <w:shd w:val="clear" w:color="auto" w:fill="FFFFFF" w:themeFill="background1"/>
          </w:tcPr>
          <w:p w14:paraId="5ECF8217" w14:textId="77777777" w:rsidR="00595440" w:rsidRPr="00EB5E8B" w:rsidRDefault="00595440" w:rsidP="00595440">
            <w:pPr>
              <w:pStyle w:val="TableText"/>
              <w:spacing w:beforeLines="0" w:before="40" w:afterLines="0" w:after="40"/>
              <w:rPr>
                <w:rFonts w:ascii="Arial" w:hAnsi="Arial" w:cs="Arial"/>
                <w:sz w:val="22"/>
                <w:szCs w:val="22"/>
              </w:rPr>
            </w:pPr>
            <w:r w:rsidRPr="00EB5E8B">
              <w:rPr>
                <w:rFonts w:ascii="Arial" w:hAnsi="Arial" w:cs="Arial"/>
                <w:sz w:val="22"/>
                <w:szCs w:val="22"/>
              </w:rPr>
              <w:t>Regional Electricity Regulators Association</w:t>
            </w:r>
          </w:p>
        </w:tc>
      </w:tr>
      <w:tr w:rsidR="00595440" w:rsidRPr="00864A34" w14:paraId="664C277B" w14:textId="77777777" w:rsidTr="00350ADD">
        <w:tc>
          <w:tcPr>
            <w:tcW w:w="1526" w:type="dxa"/>
            <w:shd w:val="clear" w:color="auto" w:fill="FFFFFF" w:themeFill="background1"/>
          </w:tcPr>
          <w:p w14:paraId="220418AF" w14:textId="3FEEBBEA" w:rsidR="00595440" w:rsidRPr="00EB5E8B"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RTO</w:t>
            </w:r>
          </w:p>
        </w:tc>
        <w:tc>
          <w:tcPr>
            <w:tcW w:w="7609" w:type="dxa"/>
            <w:shd w:val="clear" w:color="auto" w:fill="FFFFFF" w:themeFill="background1"/>
          </w:tcPr>
          <w:p w14:paraId="1233BFA7" w14:textId="780025AE" w:rsidR="00595440" w:rsidRPr="00EB5E8B"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Regional Transmission Organization</w:t>
            </w:r>
          </w:p>
        </w:tc>
      </w:tr>
      <w:tr w:rsidR="00595440" w:rsidRPr="00864A34" w14:paraId="76665A77" w14:textId="77777777" w:rsidTr="00350ADD">
        <w:tc>
          <w:tcPr>
            <w:tcW w:w="1526" w:type="dxa"/>
            <w:shd w:val="clear" w:color="auto" w:fill="FFFFFF" w:themeFill="background1"/>
          </w:tcPr>
          <w:p w14:paraId="019B8AE3" w14:textId="77777777" w:rsidR="00595440" w:rsidRPr="00EB5E8B" w:rsidDel="00032653" w:rsidRDefault="00595440" w:rsidP="00595440">
            <w:pPr>
              <w:pStyle w:val="TableText"/>
              <w:spacing w:beforeLines="0" w:before="40" w:afterLines="0" w:after="40"/>
              <w:rPr>
                <w:rFonts w:ascii="Arial" w:hAnsi="Arial" w:cs="Arial"/>
                <w:sz w:val="22"/>
                <w:szCs w:val="22"/>
              </w:rPr>
            </w:pPr>
            <w:r w:rsidRPr="00EB5E8B">
              <w:rPr>
                <w:rFonts w:ascii="Arial" w:hAnsi="Arial" w:cs="Arial"/>
                <w:sz w:val="22"/>
                <w:szCs w:val="22"/>
              </w:rPr>
              <w:t>SADC</w:t>
            </w:r>
          </w:p>
        </w:tc>
        <w:tc>
          <w:tcPr>
            <w:tcW w:w="7609" w:type="dxa"/>
            <w:shd w:val="clear" w:color="auto" w:fill="FFFFFF" w:themeFill="background1"/>
          </w:tcPr>
          <w:p w14:paraId="472BCD0E" w14:textId="77777777" w:rsidR="00595440" w:rsidRPr="00EB5E8B" w:rsidDel="00032653" w:rsidRDefault="00595440" w:rsidP="00595440">
            <w:pPr>
              <w:pStyle w:val="TableText"/>
              <w:spacing w:beforeLines="0" w:before="40" w:afterLines="0" w:after="40"/>
              <w:rPr>
                <w:rFonts w:ascii="Arial" w:hAnsi="Arial" w:cs="Arial"/>
                <w:sz w:val="22"/>
                <w:szCs w:val="22"/>
              </w:rPr>
            </w:pPr>
            <w:r w:rsidRPr="00EB5E8B">
              <w:rPr>
                <w:rFonts w:ascii="Arial" w:hAnsi="Arial" w:cs="Arial"/>
                <w:sz w:val="22"/>
                <w:szCs w:val="22"/>
              </w:rPr>
              <w:t>Southern African Development Community</w:t>
            </w:r>
          </w:p>
        </w:tc>
      </w:tr>
      <w:tr w:rsidR="00595440" w:rsidRPr="00864A34" w14:paraId="227B8900" w14:textId="77777777" w:rsidTr="00350ADD">
        <w:tc>
          <w:tcPr>
            <w:tcW w:w="1526" w:type="dxa"/>
            <w:shd w:val="clear" w:color="auto" w:fill="FFFFFF" w:themeFill="background1"/>
          </w:tcPr>
          <w:p w14:paraId="4FA97E5E" w14:textId="77777777" w:rsidR="00595440" w:rsidRPr="00EB5E8B" w:rsidRDefault="00595440" w:rsidP="00595440">
            <w:pPr>
              <w:pStyle w:val="TableText"/>
              <w:spacing w:beforeLines="0" w:before="40" w:afterLines="0" w:after="40"/>
              <w:rPr>
                <w:rFonts w:ascii="Arial" w:hAnsi="Arial" w:cs="Arial"/>
                <w:noProof/>
                <w:sz w:val="22"/>
                <w:szCs w:val="22"/>
              </w:rPr>
            </w:pPr>
            <w:r w:rsidRPr="00EB5E8B">
              <w:rPr>
                <w:rFonts w:ascii="Arial" w:hAnsi="Arial" w:cs="Arial"/>
                <w:noProof/>
                <w:sz w:val="22"/>
                <w:szCs w:val="22"/>
              </w:rPr>
              <w:t>SAPP</w:t>
            </w:r>
          </w:p>
        </w:tc>
        <w:tc>
          <w:tcPr>
            <w:tcW w:w="7609" w:type="dxa"/>
            <w:shd w:val="clear" w:color="auto" w:fill="FFFFFF" w:themeFill="background1"/>
          </w:tcPr>
          <w:p w14:paraId="3461AECC" w14:textId="77777777" w:rsidR="00595440" w:rsidRPr="00EB5E8B" w:rsidRDefault="00595440" w:rsidP="00595440">
            <w:pPr>
              <w:pStyle w:val="TableText"/>
              <w:spacing w:beforeLines="0" w:before="40" w:afterLines="0" w:after="40"/>
              <w:rPr>
                <w:rFonts w:ascii="Arial" w:hAnsi="Arial" w:cs="Arial"/>
                <w:sz w:val="22"/>
                <w:szCs w:val="22"/>
                <w:lang w:val="es-ES"/>
              </w:rPr>
            </w:pPr>
            <w:r w:rsidRPr="00EB5E8B">
              <w:rPr>
                <w:rFonts w:ascii="Arial" w:hAnsi="Arial" w:cs="Arial"/>
                <w:sz w:val="22"/>
                <w:szCs w:val="22"/>
              </w:rPr>
              <w:t>Southern African Power Pool</w:t>
            </w:r>
          </w:p>
        </w:tc>
      </w:tr>
      <w:tr w:rsidR="00491345" w:rsidRPr="00864A34" w14:paraId="5535F215" w14:textId="77777777" w:rsidTr="00350ADD">
        <w:tc>
          <w:tcPr>
            <w:tcW w:w="1526" w:type="dxa"/>
            <w:shd w:val="clear" w:color="auto" w:fill="FFFFFF" w:themeFill="background1"/>
          </w:tcPr>
          <w:p w14:paraId="7B0C27D5" w14:textId="1C6AD2BD" w:rsidR="00491345" w:rsidRPr="00EB5E8B" w:rsidRDefault="00491345" w:rsidP="00595440">
            <w:pPr>
              <w:pStyle w:val="TableText"/>
              <w:spacing w:beforeLines="0" w:before="40" w:afterLines="0" w:after="40"/>
              <w:rPr>
                <w:rFonts w:ascii="Arial" w:hAnsi="Arial" w:cs="Arial"/>
                <w:noProof/>
                <w:sz w:val="22"/>
                <w:szCs w:val="22"/>
              </w:rPr>
            </w:pPr>
            <w:r>
              <w:rPr>
                <w:rFonts w:ascii="Arial" w:hAnsi="Arial" w:cs="Arial"/>
                <w:noProof/>
                <w:sz w:val="22"/>
                <w:szCs w:val="22"/>
              </w:rPr>
              <w:t>SMO</w:t>
            </w:r>
          </w:p>
        </w:tc>
        <w:tc>
          <w:tcPr>
            <w:tcW w:w="7609" w:type="dxa"/>
            <w:shd w:val="clear" w:color="auto" w:fill="FFFFFF" w:themeFill="background1"/>
          </w:tcPr>
          <w:p w14:paraId="1C6120D9" w14:textId="3529F6A5" w:rsidR="00491345" w:rsidRPr="00EB5E8B" w:rsidRDefault="00491345" w:rsidP="00595440">
            <w:pPr>
              <w:pStyle w:val="TableText"/>
              <w:spacing w:beforeLines="0" w:before="40" w:afterLines="0" w:after="40"/>
              <w:rPr>
                <w:rFonts w:ascii="Arial" w:hAnsi="Arial" w:cs="Arial"/>
                <w:sz w:val="22"/>
                <w:szCs w:val="22"/>
              </w:rPr>
            </w:pPr>
            <w:r>
              <w:rPr>
                <w:rFonts w:ascii="Arial" w:hAnsi="Arial" w:cs="Arial"/>
                <w:sz w:val="22"/>
                <w:szCs w:val="22"/>
              </w:rPr>
              <w:t>System and Market Operator</w:t>
            </w:r>
          </w:p>
        </w:tc>
      </w:tr>
      <w:tr w:rsidR="00595440" w:rsidRPr="00864A34" w14:paraId="2E21E9D4" w14:textId="77777777" w:rsidTr="00350ADD">
        <w:tc>
          <w:tcPr>
            <w:tcW w:w="1526" w:type="dxa"/>
            <w:shd w:val="clear" w:color="auto" w:fill="FFFFFF" w:themeFill="background1"/>
          </w:tcPr>
          <w:p w14:paraId="78438403" w14:textId="77777777" w:rsidR="00595440" w:rsidRPr="00EB5E8B" w:rsidRDefault="00595440" w:rsidP="00595440">
            <w:pPr>
              <w:pStyle w:val="TableText"/>
              <w:spacing w:beforeLines="0" w:before="40" w:afterLines="0" w:after="40"/>
              <w:rPr>
                <w:rFonts w:ascii="Arial" w:hAnsi="Arial" w:cs="Arial"/>
                <w:sz w:val="22"/>
                <w:szCs w:val="22"/>
              </w:rPr>
            </w:pPr>
            <w:r w:rsidRPr="00EB5E8B">
              <w:rPr>
                <w:rFonts w:ascii="Arial" w:hAnsi="Arial" w:cs="Arial"/>
                <w:sz w:val="22"/>
                <w:szCs w:val="22"/>
              </w:rPr>
              <w:t>SOW</w:t>
            </w:r>
          </w:p>
        </w:tc>
        <w:tc>
          <w:tcPr>
            <w:tcW w:w="7609" w:type="dxa"/>
            <w:shd w:val="clear" w:color="auto" w:fill="FFFFFF" w:themeFill="background1"/>
          </w:tcPr>
          <w:p w14:paraId="512C5E13" w14:textId="77777777" w:rsidR="00595440" w:rsidRPr="00EB5E8B" w:rsidRDefault="00595440" w:rsidP="00595440">
            <w:pPr>
              <w:pStyle w:val="TableText"/>
              <w:spacing w:beforeLines="0" w:before="40" w:afterLines="0" w:after="40"/>
              <w:rPr>
                <w:rFonts w:ascii="Arial" w:hAnsi="Arial" w:cs="Arial"/>
                <w:sz w:val="22"/>
                <w:szCs w:val="22"/>
              </w:rPr>
            </w:pPr>
            <w:r w:rsidRPr="00EB5E8B">
              <w:rPr>
                <w:rFonts w:ascii="Arial" w:hAnsi="Arial" w:cs="Arial"/>
                <w:sz w:val="22"/>
                <w:szCs w:val="22"/>
              </w:rPr>
              <w:t>Scope of Work</w:t>
            </w:r>
          </w:p>
        </w:tc>
      </w:tr>
      <w:tr w:rsidR="00DF7F9C" w:rsidRPr="00864A34" w14:paraId="3AF6DEAC" w14:textId="77777777" w:rsidTr="00350ADD">
        <w:tc>
          <w:tcPr>
            <w:tcW w:w="1526" w:type="dxa"/>
            <w:shd w:val="clear" w:color="auto" w:fill="FFFFFF" w:themeFill="background1"/>
          </w:tcPr>
          <w:p w14:paraId="1E02D21A" w14:textId="1679EEA5" w:rsidR="00DF7F9C" w:rsidRPr="00EB5E8B" w:rsidRDefault="00DF7F9C" w:rsidP="00595440">
            <w:pPr>
              <w:pStyle w:val="TableText"/>
              <w:spacing w:beforeLines="0" w:before="40" w:afterLines="0" w:after="40"/>
              <w:rPr>
                <w:rFonts w:ascii="Arial" w:hAnsi="Arial" w:cs="Arial"/>
                <w:sz w:val="22"/>
                <w:szCs w:val="22"/>
              </w:rPr>
            </w:pPr>
            <w:r>
              <w:rPr>
                <w:rFonts w:ascii="Arial" w:hAnsi="Arial" w:cs="Arial"/>
                <w:sz w:val="22"/>
                <w:szCs w:val="22"/>
              </w:rPr>
              <w:t>SRIC</w:t>
            </w:r>
          </w:p>
        </w:tc>
        <w:tc>
          <w:tcPr>
            <w:tcW w:w="7609" w:type="dxa"/>
            <w:shd w:val="clear" w:color="auto" w:fill="FFFFFF" w:themeFill="background1"/>
          </w:tcPr>
          <w:p w14:paraId="6D42E923" w14:textId="2E5F1B1F" w:rsidR="00DF7F9C" w:rsidRPr="00EB5E8B" w:rsidRDefault="00DF7F9C" w:rsidP="00595440">
            <w:pPr>
              <w:pStyle w:val="TableText"/>
              <w:spacing w:beforeLines="0" w:before="40" w:afterLines="0" w:after="40"/>
              <w:rPr>
                <w:rFonts w:ascii="Arial" w:hAnsi="Arial" w:cs="Arial"/>
                <w:sz w:val="22"/>
                <w:szCs w:val="22"/>
              </w:rPr>
            </w:pPr>
            <w:r>
              <w:rPr>
                <w:rFonts w:ascii="Arial" w:hAnsi="Arial" w:cs="Arial"/>
                <w:sz w:val="22"/>
                <w:szCs w:val="22"/>
              </w:rPr>
              <w:t>Short-run Incremental Cost</w:t>
            </w:r>
          </w:p>
        </w:tc>
      </w:tr>
      <w:tr w:rsidR="00DF7F9C" w:rsidRPr="00864A34" w14:paraId="62D3D284" w14:textId="77777777" w:rsidTr="00350ADD">
        <w:tc>
          <w:tcPr>
            <w:tcW w:w="1526" w:type="dxa"/>
            <w:shd w:val="clear" w:color="auto" w:fill="FFFFFF" w:themeFill="background1"/>
          </w:tcPr>
          <w:p w14:paraId="289E8FDB" w14:textId="7D4A9CE2" w:rsidR="00DF7F9C" w:rsidRPr="00EB5E8B" w:rsidRDefault="00DF7F9C" w:rsidP="00595440">
            <w:pPr>
              <w:pStyle w:val="TableText"/>
              <w:spacing w:beforeLines="0" w:before="40" w:afterLines="0" w:after="40"/>
              <w:rPr>
                <w:rFonts w:ascii="Arial" w:hAnsi="Arial" w:cs="Arial"/>
                <w:sz w:val="22"/>
                <w:szCs w:val="22"/>
              </w:rPr>
            </w:pPr>
            <w:r>
              <w:rPr>
                <w:rFonts w:ascii="Arial" w:hAnsi="Arial" w:cs="Arial"/>
                <w:sz w:val="22"/>
                <w:szCs w:val="22"/>
              </w:rPr>
              <w:t>SRMC</w:t>
            </w:r>
          </w:p>
        </w:tc>
        <w:tc>
          <w:tcPr>
            <w:tcW w:w="7609" w:type="dxa"/>
            <w:shd w:val="clear" w:color="auto" w:fill="FFFFFF" w:themeFill="background1"/>
          </w:tcPr>
          <w:p w14:paraId="6601818C" w14:textId="627E91F6" w:rsidR="00DF7F9C" w:rsidRPr="00EB5E8B" w:rsidRDefault="00DF7F9C" w:rsidP="00595440">
            <w:pPr>
              <w:pStyle w:val="TableText"/>
              <w:spacing w:beforeLines="0" w:before="40" w:afterLines="0" w:after="40"/>
              <w:rPr>
                <w:rFonts w:ascii="Arial" w:hAnsi="Arial" w:cs="Arial"/>
                <w:sz w:val="22"/>
                <w:szCs w:val="22"/>
              </w:rPr>
            </w:pPr>
            <w:r>
              <w:rPr>
                <w:rFonts w:ascii="Arial" w:hAnsi="Arial" w:cs="Arial"/>
                <w:sz w:val="22"/>
                <w:szCs w:val="22"/>
              </w:rPr>
              <w:t>Short-run Marginal Cost</w:t>
            </w:r>
          </w:p>
        </w:tc>
      </w:tr>
      <w:tr w:rsidR="00595440" w:rsidRPr="00864A34" w14:paraId="2ABC558B" w14:textId="77777777" w:rsidTr="00350ADD">
        <w:tc>
          <w:tcPr>
            <w:tcW w:w="1526" w:type="dxa"/>
            <w:shd w:val="clear" w:color="auto" w:fill="FFFFFF" w:themeFill="background1"/>
          </w:tcPr>
          <w:p w14:paraId="66142535" w14:textId="77777777" w:rsidR="00595440" w:rsidRPr="00EB5E8B"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STEM</w:t>
            </w:r>
          </w:p>
        </w:tc>
        <w:tc>
          <w:tcPr>
            <w:tcW w:w="7609" w:type="dxa"/>
            <w:shd w:val="clear" w:color="auto" w:fill="FFFFFF" w:themeFill="background1"/>
          </w:tcPr>
          <w:p w14:paraId="2DE44F20" w14:textId="77777777" w:rsidR="00595440" w:rsidRPr="00EB5E8B"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Short Term Energy Market</w:t>
            </w:r>
          </w:p>
        </w:tc>
      </w:tr>
      <w:tr w:rsidR="00595440" w:rsidRPr="00864A34" w14:paraId="530287DD" w14:textId="77777777" w:rsidTr="00350ADD">
        <w:tc>
          <w:tcPr>
            <w:tcW w:w="1526" w:type="dxa"/>
            <w:shd w:val="clear" w:color="auto" w:fill="FFFFFF" w:themeFill="background1"/>
          </w:tcPr>
          <w:p w14:paraId="18B248D4" w14:textId="011EC1FF" w:rsidR="00595440"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TNUoS</w:t>
            </w:r>
          </w:p>
        </w:tc>
        <w:tc>
          <w:tcPr>
            <w:tcW w:w="7609" w:type="dxa"/>
            <w:shd w:val="clear" w:color="auto" w:fill="FFFFFF" w:themeFill="background1"/>
          </w:tcPr>
          <w:p w14:paraId="0AA0B9BF" w14:textId="0FC0FB25" w:rsidR="00595440" w:rsidRDefault="00595440" w:rsidP="00595440">
            <w:pPr>
              <w:pStyle w:val="TableText"/>
              <w:spacing w:beforeLines="0" w:before="40" w:afterLines="0" w:after="40"/>
              <w:rPr>
                <w:rFonts w:ascii="Arial" w:hAnsi="Arial" w:cs="Arial"/>
                <w:sz w:val="22"/>
                <w:szCs w:val="22"/>
              </w:rPr>
            </w:pPr>
            <w:r w:rsidRPr="00A8145E">
              <w:rPr>
                <w:rFonts w:ascii="Arial" w:hAnsi="Arial" w:cs="Arial"/>
                <w:sz w:val="22"/>
                <w:szCs w:val="22"/>
              </w:rPr>
              <w:t>Transmission Network Use of System</w:t>
            </w:r>
          </w:p>
        </w:tc>
      </w:tr>
      <w:tr w:rsidR="00595440" w:rsidRPr="00864A34" w14:paraId="513B2F99" w14:textId="77777777" w:rsidTr="00350ADD">
        <w:tc>
          <w:tcPr>
            <w:tcW w:w="1526" w:type="dxa"/>
            <w:shd w:val="clear" w:color="auto" w:fill="FFFFFF" w:themeFill="background1"/>
          </w:tcPr>
          <w:p w14:paraId="0C4086D4" w14:textId="67F5BCB4" w:rsidR="00595440"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TSO</w:t>
            </w:r>
          </w:p>
        </w:tc>
        <w:tc>
          <w:tcPr>
            <w:tcW w:w="7609" w:type="dxa"/>
            <w:shd w:val="clear" w:color="auto" w:fill="FFFFFF" w:themeFill="background1"/>
          </w:tcPr>
          <w:p w14:paraId="228130D5" w14:textId="19D2EB75" w:rsidR="00595440"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Transmission System Operator</w:t>
            </w:r>
          </w:p>
        </w:tc>
      </w:tr>
      <w:tr w:rsidR="00595440" w:rsidRPr="00864A34" w14:paraId="613957C0" w14:textId="77777777" w:rsidTr="00350ADD">
        <w:tc>
          <w:tcPr>
            <w:tcW w:w="1526" w:type="dxa"/>
            <w:shd w:val="clear" w:color="auto" w:fill="FFFFFF" w:themeFill="background1"/>
          </w:tcPr>
          <w:p w14:paraId="7A3F6EE5" w14:textId="26470535" w:rsidR="00595440"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UTT</w:t>
            </w:r>
          </w:p>
        </w:tc>
        <w:tc>
          <w:tcPr>
            <w:tcW w:w="7609" w:type="dxa"/>
            <w:shd w:val="clear" w:color="auto" w:fill="FFFFFF" w:themeFill="background1"/>
          </w:tcPr>
          <w:p w14:paraId="6E8E394E" w14:textId="195DB350" w:rsidR="00595440"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Unit Transmission Tariff</w:t>
            </w:r>
          </w:p>
        </w:tc>
      </w:tr>
      <w:tr w:rsidR="00595440" w:rsidRPr="00864A34" w14:paraId="2C19DDDE" w14:textId="77777777" w:rsidTr="00350ADD">
        <w:tc>
          <w:tcPr>
            <w:tcW w:w="1526" w:type="dxa"/>
            <w:shd w:val="clear" w:color="auto" w:fill="FFFFFF" w:themeFill="background1"/>
          </w:tcPr>
          <w:p w14:paraId="737423D6" w14:textId="0B8B0F17" w:rsidR="00595440"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WAPP</w:t>
            </w:r>
          </w:p>
        </w:tc>
        <w:tc>
          <w:tcPr>
            <w:tcW w:w="7609" w:type="dxa"/>
            <w:shd w:val="clear" w:color="auto" w:fill="FFFFFF" w:themeFill="background1"/>
          </w:tcPr>
          <w:p w14:paraId="498FC8DF" w14:textId="496CB67D" w:rsidR="00595440" w:rsidRDefault="00595440" w:rsidP="00595440">
            <w:pPr>
              <w:pStyle w:val="TableText"/>
              <w:spacing w:beforeLines="0" w:before="40" w:afterLines="0" w:after="40"/>
              <w:rPr>
                <w:rFonts w:ascii="Arial" w:hAnsi="Arial" w:cs="Arial"/>
                <w:sz w:val="22"/>
                <w:szCs w:val="22"/>
              </w:rPr>
            </w:pPr>
            <w:r>
              <w:rPr>
                <w:rFonts w:ascii="Arial" w:hAnsi="Arial" w:cs="Arial"/>
                <w:sz w:val="22"/>
                <w:szCs w:val="22"/>
              </w:rPr>
              <w:t>West Africa Power Pool</w:t>
            </w:r>
          </w:p>
        </w:tc>
      </w:tr>
      <w:tr w:rsidR="00595440" w:rsidRPr="00864A34" w14:paraId="4E6CB604" w14:textId="77777777" w:rsidTr="00350ADD">
        <w:tc>
          <w:tcPr>
            <w:tcW w:w="1526" w:type="dxa"/>
            <w:shd w:val="clear" w:color="auto" w:fill="FFFFFF" w:themeFill="background1"/>
          </w:tcPr>
          <w:p w14:paraId="162A83F3" w14:textId="77777777" w:rsidR="00595440" w:rsidRPr="00EB5E8B" w:rsidRDefault="00595440" w:rsidP="00595440">
            <w:pPr>
              <w:pStyle w:val="TableText"/>
              <w:spacing w:beforeLines="0" w:before="40" w:afterLines="0" w:after="40"/>
              <w:rPr>
                <w:rFonts w:ascii="Arial" w:hAnsi="Arial" w:cs="Arial"/>
                <w:sz w:val="22"/>
                <w:szCs w:val="22"/>
              </w:rPr>
            </w:pPr>
            <w:r w:rsidRPr="00EB5E8B">
              <w:rPr>
                <w:rFonts w:ascii="Arial" w:hAnsi="Arial" w:cs="Arial"/>
                <w:sz w:val="22"/>
                <w:szCs w:val="22"/>
              </w:rPr>
              <w:t>ZIZABONA</w:t>
            </w:r>
          </w:p>
        </w:tc>
        <w:tc>
          <w:tcPr>
            <w:tcW w:w="7609" w:type="dxa"/>
            <w:shd w:val="clear" w:color="auto" w:fill="FFFFFF" w:themeFill="background1"/>
          </w:tcPr>
          <w:p w14:paraId="7814BB92" w14:textId="77777777" w:rsidR="00595440" w:rsidRPr="00EB5E8B" w:rsidRDefault="00595440" w:rsidP="00595440">
            <w:pPr>
              <w:pStyle w:val="TableText"/>
              <w:spacing w:beforeLines="0" w:before="40" w:afterLines="0" w:after="40"/>
              <w:rPr>
                <w:rFonts w:ascii="Arial" w:hAnsi="Arial" w:cs="Arial"/>
                <w:sz w:val="22"/>
                <w:szCs w:val="22"/>
              </w:rPr>
            </w:pPr>
            <w:r w:rsidRPr="00EB5E8B">
              <w:rPr>
                <w:rFonts w:ascii="Arial" w:hAnsi="Arial" w:cs="Arial"/>
                <w:bCs/>
                <w:sz w:val="22"/>
                <w:szCs w:val="22"/>
              </w:rPr>
              <w:t>Zambia, Zimbabwe, Botswana, and Namibia</w:t>
            </w:r>
          </w:p>
        </w:tc>
      </w:tr>
    </w:tbl>
    <w:p w14:paraId="3B8F9989" w14:textId="77777777" w:rsidR="001A2754" w:rsidRPr="00864A34" w:rsidRDefault="001A2754" w:rsidP="001A2754">
      <w:pPr>
        <w:rPr>
          <w:rFonts w:cs="Arial"/>
        </w:rPr>
        <w:sectPr w:rsidR="001A2754" w:rsidRPr="00864A34" w:rsidSect="00913D63">
          <w:footerReference w:type="default" r:id="rId13"/>
          <w:headerReference w:type="first" r:id="rId14"/>
          <w:pgSz w:w="12240" w:h="15840" w:code="1"/>
          <w:pgMar w:top="1440" w:right="1440" w:bottom="1440" w:left="1440" w:header="720" w:footer="720" w:gutter="0"/>
          <w:pgNumType w:fmt="lowerRoman" w:start="1"/>
          <w:cols w:space="720"/>
          <w:noEndnote/>
          <w:titlePg/>
          <w:docGrid w:linePitch="299"/>
        </w:sectPr>
      </w:pPr>
    </w:p>
    <w:p w14:paraId="7FCF7869" w14:textId="77777777" w:rsidR="00915A4A" w:rsidRPr="00095DC1" w:rsidRDefault="00915A4A" w:rsidP="00915A4A">
      <w:pPr>
        <w:pStyle w:val="Heading1"/>
        <w:numPr>
          <w:ilvl w:val="0"/>
          <w:numId w:val="0"/>
        </w:numPr>
        <w:spacing w:before="0"/>
        <w:ind w:left="360" w:hanging="360"/>
        <w:rPr>
          <w:rFonts w:ascii="Arial" w:hAnsi="Arial"/>
        </w:rPr>
      </w:pPr>
      <w:bookmarkStart w:id="2" w:name="_Toc508892546"/>
      <w:bookmarkStart w:id="3" w:name="_Toc524014068"/>
      <w:r w:rsidRPr="00095DC1">
        <w:rPr>
          <w:rFonts w:ascii="Arial" w:hAnsi="Arial"/>
        </w:rPr>
        <w:lastRenderedPageBreak/>
        <w:t>Executive Summary</w:t>
      </w:r>
      <w:bookmarkStart w:id="4" w:name="_GoBack"/>
      <w:bookmarkEnd w:id="2"/>
      <w:bookmarkEnd w:id="3"/>
      <w:bookmarkEnd w:id="4"/>
    </w:p>
    <w:bookmarkEnd w:id="1"/>
    <w:p w14:paraId="56E20FE2" w14:textId="5C823A5A" w:rsidR="00894C30" w:rsidRDefault="00894C30" w:rsidP="00894C30">
      <w:pPr>
        <w:rPr>
          <w:rFonts w:cs="Arial"/>
          <w:bCs/>
        </w:rPr>
      </w:pPr>
      <w:r>
        <w:rPr>
          <w:rFonts w:cs="Arial"/>
          <w:bCs/>
        </w:rPr>
        <w:t xml:space="preserve">Work under </w:t>
      </w:r>
      <w:r w:rsidRPr="005063E9">
        <w:rPr>
          <w:rFonts w:cs="Arial"/>
          <w:bCs/>
          <w:i/>
        </w:rPr>
        <w:t>Technical Support for Continued Support on Regional Market Framework Implementation to the Regional Electricity Regulators Association of Southern Africa (RERA)</w:t>
      </w:r>
      <w:r>
        <w:rPr>
          <w:rFonts w:cs="Arial"/>
          <w:bCs/>
        </w:rPr>
        <w:t xml:space="preserve"> is funded by the United States Department of State</w:t>
      </w:r>
      <w:r w:rsidR="00467A6F">
        <w:rPr>
          <w:rFonts w:cs="Arial"/>
          <w:bCs/>
        </w:rPr>
        <w:t xml:space="preserve"> (DOS)</w:t>
      </w:r>
      <w:r>
        <w:rPr>
          <w:rFonts w:cs="Arial"/>
          <w:bCs/>
        </w:rPr>
        <w:t xml:space="preserve"> through the Bureau of Energy Resources </w:t>
      </w:r>
      <w:r w:rsidR="00467A6F">
        <w:rPr>
          <w:rFonts w:cs="Arial"/>
          <w:bCs/>
        </w:rPr>
        <w:t xml:space="preserve">(ENR) </w:t>
      </w:r>
      <w:r>
        <w:rPr>
          <w:rFonts w:cs="Arial"/>
          <w:bCs/>
        </w:rPr>
        <w:t>Power Sector Program</w:t>
      </w:r>
      <w:r w:rsidR="00467A6F">
        <w:rPr>
          <w:rFonts w:cs="Arial"/>
          <w:bCs/>
        </w:rPr>
        <w:t xml:space="preserve"> (PSP)</w:t>
      </w:r>
      <w:r>
        <w:rPr>
          <w:rFonts w:cs="Arial"/>
          <w:bCs/>
        </w:rPr>
        <w:t xml:space="preserve">. </w:t>
      </w:r>
      <w:r w:rsidR="00467A6F">
        <w:rPr>
          <w:rFonts w:cs="Arial"/>
          <w:bCs/>
        </w:rPr>
        <w:t xml:space="preserve"> </w:t>
      </w:r>
      <w:r>
        <w:rPr>
          <w:rFonts w:cs="Arial"/>
          <w:bCs/>
        </w:rPr>
        <w:t>This work w</w:t>
      </w:r>
      <w:r w:rsidRPr="005063E9">
        <w:rPr>
          <w:rFonts w:cs="Arial"/>
          <w:bCs/>
        </w:rPr>
        <w:t>ill continu</w:t>
      </w:r>
      <w:r>
        <w:rPr>
          <w:rFonts w:cs="Arial"/>
          <w:bCs/>
        </w:rPr>
        <w:t>e support to RERA, as well as</w:t>
      </w:r>
      <w:r w:rsidRPr="005063E9">
        <w:rPr>
          <w:rFonts w:cs="Arial"/>
          <w:bCs/>
        </w:rPr>
        <w:t xml:space="preserve"> three</w:t>
      </w:r>
      <w:r>
        <w:rPr>
          <w:rFonts w:cs="Arial"/>
          <w:bCs/>
        </w:rPr>
        <w:t xml:space="preserve"> selected</w:t>
      </w:r>
      <w:r w:rsidRPr="005063E9">
        <w:rPr>
          <w:rFonts w:cs="Arial"/>
          <w:bCs/>
        </w:rPr>
        <w:t xml:space="preserve"> pilot countries – Zambia, Namibia, and Botswana – to develop tools and procedures identified by the M</w:t>
      </w:r>
      <w:r>
        <w:rPr>
          <w:rFonts w:cs="Arial"/>
          <w:bCs/>
        </w:rPr>
        <w:t xml:space="preserve">arket &amp; </w:t>
      </w:r>
      <w:r w:rsidRPr="005063E9">
        <w:rPr>
          <w:rFonts w:cs="Arial"/>
          <w:bCs/>
        </w:rPr>
        <w:t>I</w:t>
      </w:r>
      <w:r>
        <w:rPr>
          <w:rFonts w:cs="Arial"/>
          <w:bCs/>
        </w:rPr>
        <w:t xml:space="preserve">nvestment </w:t>
      </w:r>
      <w:r w:rsidRPr="005063E9">
        <w:rPr>
          <w:rFonts w:cs="Arial"/>
          <w:bCs/>
        </w:rPr>
        <w:t>F</w:t>
      </w:r>
      <w:r>
        <w:rPr>
          <w:rFonts w:cs="Arial"/>
          <w:bCs/>
        </w:rPr>
        <w:t>ramework (MIF)</w:t>
      </w:r>
      <w:r w:rsidRPr="005063E9">
        <w:rPr>
          <w:rFonts w:cs="Arial"/>
          <w:bCs/>
        </w:rPr>
        <w:t xml:space="preserve"> and the Framework Roadmap.  The </w:t>
      </w:r>
      <w:r>
        <w:rPr>
          <w:rFonts w:cs="Arial"/>
          <w:bCs/>
        </w:rPr>
        <w:t>primary objective</w:t>
      </w:r>
      <w:r w:rsidRPr="005063E9">
        <w:rPr>
          <w:rFonts w:cs="Arial"/>
          <w:bCs/>
        </w:rPr>
        <w:t xml:space="preserve"> is to</w:t>
      </w:r>
      <w:r w:rsidR="00467A6F">
        <w:rPr>
          <w:rFonts w:cs="Arial"/>
          <w:bCs/>
        </w:rPr>
        <w:t xml:space="preserve"> make</w:t>
      </w:r>
      <w:r w:rsidRPr="005063E9">
        <w:rPr>
          <w:rFonts w:cs="Arial"/>
          <w:bCs/>
        </w:rPr>
        <w:t xml:space="preserve"> further progress with specific generation and transmission projects, as identified by </w:t>
      </w:r>
      <w:r>
        <w:rPr>
          <w:rFonts w:cs="Arial"/>
          <w:bCs/>
        </w:rPr>
        <w:t>the Southern Africa Power Pool (</w:t>
      </w:r>
      <w:r w:rsidRPr="005063E9">
        <w:rPr>
          <w:rFonts w:cs="Arial"/>
          <w:bCs/>
        </w:rPr>
        <w:t>SAPP</w:t>
      </w:r>
      <w:r>
        <w:rPr>
          <w:rFonts w:cs="Arial"/>
          <w:bCs/>
        </w:rPr>
        <w:t>)</w:t>
      </w:r>
      <w:r w:rsidRPr="005063E9">
        <w:rPr>
          <w:rFonts w:cs="Arial"/>
          <w:bCs/>
        </w:rPr>
        <w:t xml:space="preserve"> and RERA</w:t>
      </w:r>
      <w:r>
        <w:rPr>
          <w:rFonts w:cs="Arial"/>
          <w:bCs/>
        </w:rPr>
        <w:t xml:space="preserve"> and to increase SAPP membership and participation in the regional electricity market</w:t>
      </w:r>
      <w:r w:rsidRPr="005063E9">
        <w:rPr>
          <w:rFonts w:cs="Arial"/>
          <w:bCs/>
        </w:rPr>
        <w:t xml:space="preserve">.  </w:t>
      </w:r>
    </w:p>
    <w:p w14:paraId="58087FBB" w14:textId="77777777" w:rsidR="000A4DD2" w:rsidRPr="000A4DD2" w:rsidRDefault="000A4DD2" w:rsidP="000A4DD2">
      <w:pPr>
        <w:rPr>
          <w:rFonts w:cs="Arial"/>
          <w:bCs/>
        </w:rPr>
      </w:pPr>
      <w:r w:rsidRPr="000A4DD2">
        <w:rPr>
          <w:rFonts w:cs="Arial"/>
          <w:bCs/>
        </w:rPr>
        <w:t>The regional transmission capacity needed to facilitate cross-border power t</w:t>
      </w:r>
      <w:r w:rsidR="00E71A25">
        <w:rPr>
          <w:rFonts w:cs="Arial"/>
          <w:bCs/>
        </w:rPr>
        <w:t>rading in the Southern African r</w:t>
      </w:r>
      <w:r w:rsidRPr="000A4DD2">
        <w:rPr>
          <w:rFonts w:cs="Arial"/>
          <w:bCs/>
        </w:rPr>
        <w:t xml:space="preserve">egion remains highly constrained due to the lack of investment in new infrastructure and enhancement of capacity of the existing infrastructure. Meeting national and regional electricity demand through competitively operating transmission interconnections requires development of transmission interconnection tools that incentivize the development of cross border transmission infrastructure. </w:t>
      </w:r>
    </w:p>
    <w:p w14:paraId="5919205E" w14:textId="068B5EC0" w:rsidR="000A4DD2" w:rsidRDefault="000A4DD2" w:rsidP="000A4DD2">
      <w:pPr>
        <w:rPr>
          <w:rFonts w:cs="Arial"/>
          <w:bCs/>
        </w:rPr>
      </w:pPr>
      <w:r w:rsidRPr="000A4DD2">
        <w:rPr>
          <w:rFonts w:cs="Arial"/>
          <w:bCs/>
        </w:rPr>
        <w:t xml:space="preserve">An important component of a transmission interconnection toolkit is a transmission pricing methodology </w:t>
      </w:r>
      <w:r w:rsidR="00E81836">
        <w:rPr>
          <w:rFonts w:cs="Arial"/>
          <w:bCs/>
        </w:rPr>
        <w:t xml:space="preserve">that </w:t>
      </w:r>
      <w:r w:rsidRPr="000A4DD2">
        <w:rPr>
          <w:rFonts w:cs="Arial"/>
          <w:bCs/>
        </w:rPr>
        <w:t>is consistent or harmonized across cou</w:t>
      </w:r>
      <w:r w:rsidR="00E71A25">
        <w:rPr>
          <w:rFonts w:cs="Arial"/>
          <w:bCs/>
        </w:rPr>
        <w:t>ntries in the Southern African r</w:t>
      </w:r>
      <w:r w:rsidRPr="000A4DD2">
        <w:rPr>
          <w:rFonts w:cs="Arial"/>
          <w:bCs/>
        </w:rPr>
        <w:t xml:space="preserve">egion and in the member countries of the Southern Africa Power Pool (SAPP). </w:t>
      </w:r>
      <w:r w:rsidR="00467A6F">
        <w:rPr>
          <w:rFonts w:cs="Arial"/>
          <w:bCs/>
        </w:rPr>
        <w:t xml:space="preserve"> </w:t>
      </w:r>
      <w:r w:rsidRPr="000A4DD2">
        <w:rPr>
          <w:rFonts w:cs="Arial"/>
          <w:bCs/>
        </w:rPr>
        <w:t>This report examines some of the key issues</w:t>
      </w:r>
      <w:r w:rsidR="00C45BE7">
        <w:rPr>
          <w:rFonts w:cs="Arial"/>
          <w:bCs/>
        </w:rPr>
        <w:t xml:space="preserve"> that must be considered</w:t>
      </w:r>
      <w:r w:rsidRPr="000A4DD2">
        <w:rPr>
          <w:rFonts w:cs="Arial"/>
          <w:bCs/>
        </w:rPr>
        <w:t xml:space="preserve"> in the development of a transmission pricing methodology </w:t>
      </w:r>
      <w:r w:rsidR="00222A5C">
        <w:rPr>
          <w:rFonts w:cs="Arial"/>
          <w:bCs/>
        </w:rPr>
        <w:t>that</w:t>
      </w:r>
      <w:r w:rsidR="00C45BE7">
        <w:rPr>
          <w:rFonts w:cs="Arial"/>
          <w:bCs/>
        </w:rPr>
        <w:t xml:space="preserve"> can</w:t>
      </w:r>
      <w:r w:rsidRPr="000A4DD2">
        <w:rPr>
          <w:rFonts w:cs="Arial"/>
          <w:bCs/>
        </w:rPr>
        <w:t xml:space="preserve"> be consistently applied across the SAPP region.</w:t>
      </w:r>
    </w:p>
    <w:p w14:paraId="33FBA485" w14:textId="37CCC271" w:rsidR="000A4DD2" w:rsidRPr="00496E38" w:rsidRDefault="00C45BE7" w:rsidP="000A4DD2">
      <w:pPr>
        <w:rPr>
          <w:rFonts w:cs="Arial"/>
          <w:bCs/>
        </w:rPr>
      </w:pPr>
      <w:r w:rsidRPr="00496E38">
        <w:rPr>
          <w:rFonts w:cs="Arial"/>
          <w:bCs/>
        </w:rPr>
        <w:t>With the goal of</w:t>
      </w:r>
      <w:r w:rsidR="000A4DD2" w:rsidRPr="00496E38">
        <w:rPr>
          <w:rFonts w:cs="Arial"/>
          <w:bCs/>
        </w:rPr>
        <w:t xml:space="preserve"> proposing a transmi</w:t>
      </w:r>
      <w:r w:rsidR="00E71A25" w:rsidRPr="00496E38">
        <w:rPr>
          <w:rFonts w:cs="Arial"/>
          <w:bCs/>
        </w:rPr>
        <w:t>ssion pricing methodology</w:t>
      </w:r>
      <w:r w:rsidRPr="00496E38">
        <w:rPr>
          <w:rFonts w:cs="Arial"/>
          <w:bCs/>
        </w:rPr>
        <w:t xml:space="preserve"> consistent with current conditions in the region</w:t>
      </w:r>
      <w:r w:rsidR="00E71A25" w:rsidRPr="00496E38">
        <w:rPr>
          <w:rFonts w:cs="Arial"/>
          <w:bCs/>
        </w:rPr>
        <w:t xml:space="preserve">, the </w:t>
      </w:r>
      <w:r w:rsidRPr="00496E38">
        <w:rPr>
          <w:rFonts w:cs="Arial"/>
          <w:bCs/>
        </w:rPr>
        <w:t xml:space="preserve">Deloitte </w:t>
      </w:r>
      <w:r w:rsidR="000A4DD2" w:rsidRPr="00496E38">
        <w:rPr>
          <w:rFonts w:cs="Arial"/>
          <w:bCs/>
        </w:rPr>
        <w:t xml:space="preserve">Team </w:t>
      </w:r>
      <w:r w:rsidR="00F11FDB" w:rsidRPr="00496E38">
        <w:rPr>
          <w:rFonts w:cs="Arial"/>
          <w:bCs/>
        </w:rPr>
        <w:t xml:space="preserve">sought </w:t>
      </w:r>
      <w:r w:rsidR="000A4DD2" w:rsidRPr="00496E38">
        <w:rPr>
          <w:rFonts w:cs="Arial"/>
          <w:bCs/>
        </w:rPr>
        <w:t xml:space="preserve">to build on past efforts by SAPP and </w:t>
      </w:r>
      <w:r w:rsidR="00915A4A" w:rsidRPr="00496E38">
        <w:rPr>
          <w:rFonts w:cs="Arial"/>
          <w:bCs/>
        </w:rPr>
        <w:t xml:space="preserve">the </w:t>
      </w:r>
      <w:r w:rsidR="000A4DD2" w:rsidRPr="00496E38">
        <w:rPr>
          <w:rFonts w:cs="Arial"/>
          <w:bCs/>
        </w:rPr>
        <w:t xml:space="preserve">Regional Electricity Regulators Association </w:t>
      </w:r>
      <w:r w:rsidRPr="00496E38">
        <w:rPr>
          <w:rFonts w:cs="Arial"/>
          <w:bCs/>
        </w:rPr>
        <w:t>of Southern Africa (RERA).</w:t>
      </w:r>
      <w:r w:rsidR="001D5447">
        <w:rPr>
          <w:rFonts w:cs="Arial"/>
          <w:bCs/>
        </w:rPr>
        <w:t xml:space="preserve"> </w:t>
      </w:r>
      <w:r w:rsidRPr="00496E38">
        <w:rPr>
          <w:rFonts w:cs="Arial"/>
          <w:bCs/>
        </w:rPr>
        <w:t xml:space="preserve"> </w:t>
      </w:r>
      <w:r w:rsidR="007C6E58" w:rsidRPr="007C6E58">
        <w:rPr>
          <w:rFonts w:cs="Arial"/>
          <w:bCs/>
        </w:rPr>
        <w:t xml:space="preserve">During the course of this project, the Deloitte </w:t>
      </w:r>
      <w:r w:rsidR="008E414B">
        <w:rPr>
          <w:rFonts w:cs="Arial"/>
          <w:bCs/>
        </w:rPr>
        <w:t>T</w:t>
      </w:r>
      <w:r w:rsidR="007C6E58" w:rsidRPr="007C6E58">
        <w:rPr>
          <w:rFonts w:cs="Arial"/>
          <w:bCs/>
        </w:rPr>
        <w:t xml:space="preserve">eam conducted a sustained effort to secure an NDA with SAPP (through RERA), in order to obtain </w:t>
      </w:r>
      <w:r w:rsidR="000A4DD2" w:rsidRPr="00496E38">
        <w:rPr>
          <w:rFonts w:cs="Arial"/>
          <w:bCs/>
        </w:rPr>
        <w:t>detailed information on existing and proposed cross-border transmission tariff agreements and guidelines</w:t>
      </w:r>
      <w:r w:rsidRPr="00496E38">
        <w:rPr>
          <w:rFonts w:cs="Arial"/>
          <w:bCs/>
        </w:rPr>
        <w:t xml:space="preserve">. </w:t>
      </w:r>
      <w:r w:rsidR="007C6E58" w:rsidRPr="007C6E58">
        <w:rPr>
          <w:rFonts w:cs="Arial"/>
          <w:bCs/>
        </w:rPr>
        <w:t xml:space="preserve">However, the required NDA was never secured. As a result, </w:t>
      </w:r>
      <w:r w:rsidR="007C6E58" w:rsidRPr="00496E38">
        <w:rPr>
          <w:rFonts w:cs="Arial"/>
          <w:bCs/>
        </w:rPr>
        <w:t>t</w:t>
      </w:r>
      <w:r w:rsidR="00B56CCC" w:rsidRPr="00496E38">
        <w:rPr>
          <w:rFonts w:cs="Arial"/>
          <w:bCs/>
        </w:rPr>
        <w:t xml:space="preserve">he </w:t>
      </w:r>
      <w:r w:rsidR="008E414B">
        <w:rPr>
          <w:rFonts w:cs="Arial"/>
          <w:bCs/>
        </w:rPr>
        <w:t xml:space="preserve">Deloitte </w:t>
      </w:r>
      <w:r w:rsidR="00B56CCC" w:rsidRPr="00496E38">
        <w:rPr>
          <w:rFonts w:cs="Arial"/>
          <w:bCs/>
        </w:rPr>
        <w:t xml:space="preserve">Team has </w:t>
      </w:r>
      <w:r w:rsidR="00F11FDB" w:rsidRPr="00496E38">
        <w:rPr>
          <w:rFonts w:cs="Arial"/>
          <w:bCs/>
        </w:rPr>
        <w:t xml:space="preserve">only </w:t>
      </w:r>
      <w:r w:rsidR="00B56CCC" w:rsidRPr="00496E38">
        <w:rPr>
          <w:rFonts w:cs="Arial"/>
          <w:bCs/>
        </w:rPr>
        <w:t>examined</w:t>
      </w:r>
      <w:r w:rsidR="000A4DD2" w:rsidRPr="00496E38">
        <w:rPr>
          <w:rFonts w:cs="Arial"/>
          <w:bCs/>
        </w:rPr>
        <w:t xml:space="preserve"> publicly available information on the existing approaches for pricing cross</w:t>
      </w:r>
      <w:r w:rsidR="00B56CCC" w:rsidRPr="00496E38">
        <w:rPr>
          <w:rFonts w:cs="Arial"/>
          <w:bCs/>
        </w:rPr>
        <w:t>-border transmission services</w:t>
      </w:r>
      <w:r w:rsidR="0078074F" w:rsidRPr="00496E38">
        <w:rPr>
          <w:rFonts w:cs="Arial"/>
          <w:bCs/>
        </w:rPr>
        <w:t xml:space="preserve"> within </w:t>
      </w:r>
      <w:r w:rsidR="000A4DD2" w:rsidRPr="00496E38">
        <w:rPr>
          <w:rFonts w:cs="Arial"/>
          <w:bCs/>
        </w:rPr>
        <w:t>SAPP.</w:t>
      </w:r>
    </w:p>
    <w:p w14:paraId="45C6B98F" w14:textId="454C4D4E" w:rsidR="000A4DD2" w:rsidRPr="00496E38" w:rsidRDefault="000A4DD2" w:rsidP="000A4DD2">
      <w:pPr>
        <w:rPr>
          <w:rFonts w:cs="Arial"/>
          <w:bCs/>
        </w:rPr>
      </w:pPr>
      <w:r w:rsidRPr="00496E38">
        <w:rPr>
          <w:rFonts w:cs="Arial"/>
          <w:bCs/>
        </w:rPr>
        <w:t xml:space="preserve">This report is based on </w:t>
      </w:r>
      <w:r w:rsidR="00CA4875" w:rsidRPr="00496E38">
        <w:rPr>
          <w:rFonts w:cs="Arial"/>
          <w:bCs/>
        </w:rPr>
        <w:t>discussion</w:t>
      </w:r>
      <w:r w:rsidR="00F11FDB" w:rsidRPr="00496E38">
        <w:rPr>
          <w:rFonts w:cs="Arial"/>
          <w:bCs/>
        </w:rPr>
        <w:t>s</w:t>
      </w:r>
      <w:r w:rsidR="00CA4875" w:rsidRPr="00496E38">
        <w:rPr>
          <w:rFonts w:cs="Arial"/>
          <w:bCs/>
        </w:rPr>
        <w:t xml:space="preserve"> and a review of</w:t>
      </w:r>
      <w:r w:rsidRPr="00496E38">
        <w:rPr>
          <w:rFonts w:cs="Arial"/>
          <w:bCs/>
        </w:rPr>
        <w:t xml:space="preserve"> information gathered during the </w:t>
      </w:r>
      <w:r w:rsidR="00CA4875" w:rsidRPr="00496E38">
        <w:rPr>
          <w:rFonts w:cs="Arial"/>
          <w:bCs/>
        </w:rPr>
        <w:t>Inception Mission</w:t>
      </w:r>
      <w:r w:rsidRPr="00496E38">
        <w:rPr>
          <w:rFonts w:cs="Arial"/>
          <w:bCs/>
        </w:rPr>
        <w:t xml:space="preserve"> </w:t>
      </w:r>
      <w:r w:rsidR="00C45BE7" w:rsidRPr="00496E38">
        <w:rPr>
          <w:rFonts w:cs="Arial"/>
          <w:bCs/>
        </w:rPr>
        <w:t>and a subsequent trip</w:t>
      </w:r>
      <w:r w:rsidR="00F11FDB" w:rsidRPr="00496E38">
        <w:rPr>
          <w:rFonts w:cs="Arial"/>
          <w:bCs/>
        </w:rPr>
        <w:t xml:space="preserve"> </w:t>
      </w:r>
      <w:r w:rsidRPr="00496E38">
        <w:rPr>
          <w:rFonts w:cs="Arial"/>
          <w:bCs/>
        </w:rPr>
        <w:t>to the region during which the</w:t>
      </w:r>
      <w:r w:rsidR="008E414B">
        <w:rPr>
          <w:rFonts w:cs="Arial"/>
          <w:bCs/>
        </w:rPr>
        <w:t xml:space="preserve"> Deloitte</w:t>
      </w:r>
      <w:r w:rsidRPr="00496E38">
        <w:rPr>
          <w:rFonts w:cs="Arial"/>
          <w:bCs/>
        </w:rPr>
        <w:t xml:space="preserve"> </w:t>
      </w:r>
      <w:r w:rsidR="008E414B">
        <w:rPr>
          <w:rFonts w:cs="Arial"/>
          <w:bCs/>
        </w:rPr>
        <w:t>T</w:t>
      </w:r>
      <w:r w:rsidRPr="00496E38">
        <w:rPr>
          <w:rFonts w:cs="Arial"/>
          <w:bCs/>
        </w:rPr>
        <w:t>eam met with stakeho</w:t>
      </w:r>
      <w:r w:rsidR="00C45BE7" w:rsidRPr="00496E38">
        <w:rPr>
          <w:rFonts w:cs="Arial"/>
          <w:bCs/>
        </w:rPr>
        <w:t>lders in</w:t>
      </w:r>
      <w:r w:rsidR="00BC2CF0" w:rsidRPr="00496E38">
        <w:rPr>
          <w:rFonts w:cs="Arial"/>
          <w:bCs/>
        </w:rPr>
        <w:t xml:space="preserve"> the</w:t>
      </w:r>
      <w:r w:rsidR="00C45BE7" w:rsidRPr="00496E38">
        <w:rPr>
          <w:rFonts w:cs="Arial"/>
          <w:bCs/>
        </w:rPr>
        <w:t xml:space="preserve"> three pilot countries</w:t>
      </w:r>
      <w:r w:rsidR="00CA4875" w:rsidRPr="00496E38">
        <w:rPr>
          <w:rFonts w:cs="Arial"/>
          <w:bCs/>
        </w:rPr>
        <w:t xml:space="preserve">. </w:t>
      </w:r>
      <w:r w:rsidR="00BC2CF0" w:rsidRPr="00496E38">
        <w:rPr>
          <w:rFonts w:cs="Arial"/>
          <w:bCs/>
        </w:rPr>
        <w:t>It</w:t>
      </w:r>
      <w:r w:rsidRPr="00496E38">
        <w:rPr>
          <w:rFonts w:cs="Arial"/>
          <w:bCs/>
        </w:rPr>
        <w:t xml:space="preserve"> is also informed by a review of international </w:t>
      </w:r>
      <w:r w:rsidR="00C45BE7" w:rsidRPr="00496E38">
        <w:rPr>
          <w:rFonts w:cs="Arial"/>
          <w:bCs/>
        </w:rPr>
        <w:t xml:space="preserve">leading </w:t>
      </w:r>
      <w:r w:rsidRPr="00496E38">
        <w:rPr>
          <w:rFonts w:cs="Arial"/>
          <w:bCs/>
        </w:rPr>
        <w:t>practice</w:t>
      </w:r>
      <w:r w:rsidR="00C45BE7" w:rsidRPr="00496E38">
        <w:rPr>
          <w:rFonts w:cs="Arial"/>
          <w:bCs/>
        </w:rPr>
        <w:t>s</w:t>
      </w:r>
      <w:r w:rsidRPr="00496E38">
        <w:rPr>
          <w:rFonts w:cs="Arial"/>
          <w:bCs/>
        </w:rPr>
        <w:t xml:space="preserve"> in transmission pricing methodology for cross-border connections. </w:t>
      </w:r>
    </w:p>
    <w:p w14:paraId="71F10B67" w14:textId="094E5387" w:rsidR="007407EA" w:rsidRPr="00595440" w:rsidRDefault="000A4DD2">
      <w:pPr>
        <w:spacing w:after="0"/>
        <w:jc w:val="left"/>
        <w:rPr>
          <w:rFonts w:cs="Arial"/>
          <w:bCs/>
        </w:rPr>
      </w:pPr>
      <w:r>
        <w:rPr>
          <w:rFonts w:cs="Arial"/>
          <w:bCs/>
        </w:rPr>
        <w:br w:type="page"/>
      </w:r>
      <w:bookmarkStart w:id="5" w:name="_Toc506918919"/>
    </w:p>
    <w:p w14:paraId="474F6B66" w14:textId="5A5E8E11" w:rsidR="007407EA" w:rsidRDefault="00894C30" w:rsidP="007407EA">
      <w:pPr>
        <w:pStyle w:val="Heading1"/>
      </w:pPr>
      <w:bookmarkStart w:id="6" w:name="_Toc524014069"/>
      <w:r>
        <w:lastRenderedPageBreak/>
        <w:t xml:space="preserve">BACKGROUND ON </w:t>
      </w:r>
      <w:r w:rsidR="007407EA">
        <w:t>Cross-Border Transmission Pricing</w:t>
      </w:r>
      <w:bookmarkEnd w:id="5"/>
      <w:bookmarkEnd w:id="6"/>
    </w:p>
    <w:p w14:paraId="4CD800FE" w14:textId="77777777" w:rsidR="007407EA" w:rsidRDefault="007407EA" w:rsidP="007407EA">
      <w:pPr>
        <w:pStyle w:val="Heading2"/>
      </w:pPr>
      <w:bookmarkStart w:id="7" w:name="_Toc506918920"/>
      <w:bookmarkStart w:id="8" w:name="_Toc524014070"/>
      <w:r>
        <w:t>What</w:t>
      </w:r>
      <w:r w:rsidR="001B611D">
        <w:t xml:space="preserve"> are Cross-border Transmission T</w:t>
      </w:r>
      <w:r>
        <w:t>ariffs?</w:t>
      </w:r>
      <w:bookmarkEnd w:id="7"/>
      <w:bookmarkEnd w:id="8"/>
    </w:p>
    <w:p w14:paraId="15AB016B" w14:textId="77777777" w:rsidR="007407EA" w:rsidRDefault="007407EA" w:rsidP="007407EA">
      <w:r>
        <w:t>The principal function</w:t>
      </w:r>
      <w:r w:rsidR="00C03B67">
        <w:t>s</w:t>
      </w:r>
      <w:r>
        <w:t xml:space="preserve"> of a cross-border transmissio</w:t>
      </w:r>
      <w:r w:rsidR="00C03B67">
        <w:t>n tariff structure and tariff are</w:t>
      </w:r>
      <w:r>
        <w:t xml:space="preserve"> to recover the cost of transmitting power through an interlinked transmission network, and </w:t>
      </w:r>
      <w:r w:rsidR="001B611D">
        <w:t xml:space="preserve">to </w:t>
      </w:r>
      <w:r>
        <w:t>fairly allocate tariffs to all counterparties and entities through whose network assets power flows. The tariff structure and tariff can vary depending on the objectives and network operational considerations, which may include:</w:t>
      </w:r>
    </w:p>
    <w:p w14:paraId="5C6223FC" w14:textId="171A8FDF" w:rsidR="007407EA" w:rsidRPr="002528D7" w:rsidRDefault="00A960F5" w:rsidP="002528D7">
      <w:pPr>
        <w:pStyle w:val="Bullet1Last"/>
        <w:spacing w:after="120"/>
        <w:ind w:left="720"/>
        <w:rPr>
          <w:rFonts w:cs="Arial"/>
        </w:rPr>
      </w:pPr>
      <w:r w:rsidRPr="002528D7">
        <w:rPr>
          <w:rFonts w:cs="Arial"/>
        </w:rPr>
        <w:t>R</w:t>
      </w:r>
      <w:r w:rsidR="007407EA" w:rsidRPr="002528D7">
        <w:rPr>
          <w:rFonts w:cs="Arial"/>
        </w:rPr>
        <w:t>ecover</w:t>
      </w:r>
      <w:r>
        <w:rPr>
          <w:rFonts w:cs="Arial"/>
        </w:rPr>
        <w:t>y of</w:t>
      </w:r>
      <w:r w:rsidR="007407EA" w:rsidRPr="002528D7">
        <w:rPr>
          <w:rFonts w:cs="Arial"/>
        </w:rPr>
        <w:t xml:space="preserve"> capital costs of the line and op</w:t>
      </w:r>
      <w:r w:rsidR="001B611D">
        <w:rPr>
          <w:rFonts w:cs="Arial"/>
        </w:rPr>
        <w:t>erational and maintenance costs;</w:t>
      </w:r>
    </w:p>
    <w:p w14:paraId="3C0B6AA4" w14:textId="60C90B56" w:rsidR="007407EA" w:rsidRPr="002528D7" w:rsidRDefault="00A960F5" w:rsidP="002528D7">
      <w:pPr>
        <w:pStyle w:val="Bullet1Last"/>
        <w:spacing w:after="120"/>
        <w:ind w:left="720"/>
        <w:rPr>
          <w:rFonts w:cs="Arial"/>
        </w:rPr>
      </w:pPr>
      <w:r>
        <w:rPr>
          <w:rFonts w:cs="Arial"/>
        </w:rPr>
        <w:t>Levy</w:t>
      </w:r>
      <w:r w:rsidR="006307BF">
        <w:rPr>
          <w:rFonts w:cs="Arial"/>
        </w:rPr>
        <w:t xml:space="preserve"> on the basis of</w:t>
      </w:r>
      <w:r w:rsidR="00C03B67">
        <w:rPr>
          <w:rFonts w:cs="Arial"/>
        </w:rPr>
        <w:t xml:space="preserve"> capacity (MW), consumption (MWh), </w:t>
      </w:r>
      <w:r w:rsidR="007407EA" w:rsidRPr="002528D7">
        <w:rPr>
          <w:rFonts w:cs="Arial"/>
        </w:rPr>
        <w:t>or both</w:t>
      </w:r>
      <w:r w:rsidR="001B611D">
        <w:rPr>
          <w:rFonts w:cs="Arial"/>
        </w:rPr>
        <w:t>;</w:t>
      </w:r>
    </w:p>
    <w:p w14:paraId="1D06E53B" w14:textId="1A0EC505" w:rsidR="007407EA" w:rsidRPr="002528D7" w:rsidRDefault="00A960F5" w:rsidP="002528D7">
      <w:pPr>
        <w:pStyle w:val="Bullet1Last"/>
        <w:spacing w:after="120"/>
        <w:ind w:left="720"/>
        <w:rPr>
          <w:rFonts w:cs="Arial"/>
        </w:rPr>
      </w:pPr>
      <w:r>
        <w:rPr>
          <w:rFonts w:cs="Arial"/>
        </w:rPr>
        <w:t>Inclusion of</w:t>
      </w:r>
      <w:r w:rsidR="007407EA" w:rsidRPr="002528D7">
        <w:rPr>
          <w:rFonts w:cs="Arial"/>
        </w:rPr>
        <w:t xml:space="preserve"> charges to recover the costs of ancillary services and losses and network congestion</w:t>
      </w:r>
      <w:r w:rsidR="00C03B67">
        <w:rPr>
          <w:rFonts w:cs="Arial"/>
        </w:rPr>
        <w:t>;</w:t>
      </w:r>
    </w:p>
    <w:p w14:paraId="2C94BF22" w14:textId="77777777" w:rsidR="007407EA" w:rsidRPr="002528D7" w:rsidRDefault="007407EA" w:rsidP="002528D7">
      <w:pPr>
        <w:pStyle w:val="Bullet1Last"/>
        <w:spacing w:after="120"/>
        <w:ind w:left="720"/>
        <w:rPr>
          <w:rFonts w:cs="Arial"/>
        </w:rPr>
      </w:pPr>
      <w:r w:rsidRPr="002528D7">
        <w:rPr>
          <w:rFonts w:cs="Arial"/>
        </w:rPr>
        <w:t>Deep, shallow</w:t>
      </w:r>
      <w:r w:rsidR="00C03B67">
        <w:rPr>
          <w:rFonts w:cs="Arial"/>
        </w:rPr>
        <w:t>,</w:t>
      </w:r>
      <w:r w:rsidRPr="002528D7">
        <w:rPr>
          <w:rFonts w:cs="Arial"/>
        </w:rPr>
        <w:t xml:space="preserve"> or hybrid connection charges for entities accessing the transmission network</w:t>
      </w:r>
      <w:r w:rsidRPr="001B611D">
        <w:rPr>
          <w:rFonts w:cs="Arial"/>
          <w:vertAlign w:val="superscript"/>
        </w:rPr>
        <w:footnoteReference w:id="2"/>
      </w:r>
      <w:r w:rsidR="001B611D">
        <w:rPr>
          <w:rFonts w:cs="Arial"/>
        </w:rPr>
        <w:t>;</w:t>
      </w:r>
    </w:p>
    <w:p w14:paraId="617545C1" w14:textId="77777777" w:rsidR="007407EA" w:rsidRPr="002528D7" w:rsidRDefault="007407EA" w:rsidP="002528D7">
      <w:pPr>
        <w:pStyle w:val="Bullet1Last"/>
        <w:spacing w:after="120"/>
        <w:ind w:left="720"/>
        <w:rPr>
          <w:rFonts w:cs="Arial"/>
        </w:rPr>
      </w:pPr>
      <w:r w:rsidRPr="002528D7">
        <w:rPr>
          <w:rFonts w:cs="Arial"/>
        </w:rPr>
        <w:t>Locational and marginal cost charges based on the point and time of interconnection</w:t>
      </w:r>
      <w:r w:rsidR="001B611D">
        <w:rPr>
          <w:rFonts w:cs="Arial"/>
        </w:rPr>
        <w:t>;</w:t>
      </w:r>
    </w:p>
    <w:p w14:paraId="6B01E51D" w14:textId="18D198C1" w:rsidR="007407EA" w:rsidRPr="002528D7" w:rsidRDefault="00A960F5" w:rsidP="002528D7">
      <w:pPr>
        <w:pStyle w:val="Bullet1Last"/>
        <w:spacing w:after="120"/>
        <w:ind w:left="720"/>
        <w:rPr>
          <w:rFonts w:cs="Arial"/>
        </w:rPr>
      </w:pPr>
      <w:r>
        <w:rPr>
          <w:rFonts w:cs="Arial"/>
        </w:rPr>
        <w:t>R</w:t>
      </w:r>
      <w:r w:rsidR="007407EA" w:rsidRPr="002528D7">
        <w:rPr>
          <w:rFonts w:cs="Arial"/>
        </w:rPr>
        <w:t>econciliation to fully recover all costs incurred by the transmission system operator and owner</w:t>
      </w:r>
      <w:r w:rsidR="001B611D">
        <w:rPr>
          <w:rFonts w:cs="Arial"/>
        </w:rPr>
        <w:t>;</w:t>
      </w:r>
    </w:p>
    <w:p w14:paraId="42BF67DF" w14:textId="77777777" w:rsidR="007407EA" w:rsidRPr="002528D7" w:rsidRDefault="007407EA" w:rsidP="002528D7">
      <w:pPr>
        <w:pStyle w:val="Bullet1Last"/>
        <w:spacing w:after="120"/>
        <w:ind w:left="720"/>
        <w:rPr>
          <w:rFonts w:cs="Arial"/>
        </w:rPr>
      </w:pPr>
      <w:r w:rsidRPr="002528D7">
        <w:rPr>
          <w:rFonts w:cs="Arial"/>
        </w:rPr>
        <w:t>Recovery of marginal or historical costs associate</w:t>
      </w:r>
      <w:r w:rsidR="001B611D">
        <w:rPr>
          <w:rFonts w:cs="Arial"/>
        </w:rPr>
        <w:t>d with the transmission network; and</w:t>
      </w:r>
    </w:p>
    <w:p w14:paraId="4400A3DD" w14:textId="60E0883C" w:rsidR="007407EA" w:rsidRPr="002528D7" w:rsidRDefault="007407EA" w:rsidP="002528D7">
      <w:pPr>
        <w:pStyle w:val="Bullet1Last"/>
        <w:spacing w:after="120"/>
        <w:ind w:left="720"/>
        <w:rPr>
          <w:rFonts w:cs="Arial"/>
        </w:rPr>
      </w:pPr>
      <w:r w:rsidRPr="002528D7">
        <w:rPr>
          <w:rFonts w:cs="Arial"/>
        </w:rPr>
        <w:t>Recovery from only the generator</w:t>
      </w:r>
      <w:r w:rsidR="00C03B67">
        <w:rPr>
          <w:rFonts w:cs="Arial"/>
        </w:rPr>
        <w:t xml:space="preserve"> </w:t>
      </w:r>
      <w:r w:rsidRPr="002528D7">
        <w:rPr>
          <w:rFonts w:cs="Arial"/>
        </w:rPr>
        <w:t xml:space="preserve">or </w:t>
      </w:r>
      <w:r w:rsidR="00FA3B7E">
        <w:rPr>
          <w:rFonts w:cs="Arial"/>
        </w:rPr>
        <w:t xml:space="preserve">the </w:t>
      </w:r>
      <w:r w:rsidRPr="002528D7">
        <w:rPr>
          <w:rFonts w:cs="Arial"/>
        </w:rPr>
        <w:t>generator and the load</w:t>
      </w:r>
      <w:r w:rsidR="001B611D">
        <w:rPr>
          <w:rFonts w:cs="Arial"/>
        </w:rPr>
        <w:t>.</w:t>
      </w:r>
    </w:p>
    <w:p w14:paraId="2D9D53E1" w14:textId="71015DDF" w:rsidR="00C14B41" w:rsidRDefault="007407EA" w:rsidP="007407EA">
      <w:r>
        <w:t xml:space="preserve">The entity responsible </w:t>
      </w:r>
      <w:r w:rsidR="00A960F5">
        <w:t>for covering</w:t>
      </w:r>
      <w:r>
        <w:t xml:space="preserve"> transmission costs varies </w:t>
      </w:r>
      <w:r w:rsidR="00665805">
        <w:t>between</w:t>
      </w:r>
      <w:r w:rsidR="00A960F5">
        <w:t xml:space="preserve"> electricity markets. Costs may</w:t>
      </w:r>
      <w:r>
        <w:t xml:space="preserve"> be born</w:t>
      </w:r>
      <w:r w:rsidR="00A960F5">
        <w:t>e by the generator only, the load only or shared between</w:t>
      </w:r>
      <w:r>
        <w:t xml:space="preserve"> the generator and load. In cases where the </w:t>
      </w:r>
      <w:r w:rsidR="00137AB0">
        <w:t xml:space="preserve">generator and load share the </w:t>
      </w:r>
      <w:r>
        <w:t xml:space="preserve">costs, the allocation of costs between the two entities varies across markets and countries. </w:t>
      </w:r>
      <w:r w:rsidR="00137AB0">
        <w:t>T</w:t>
      </w:r>
      <w:r>
        <w:t>he objectives for the electricity market</w:t>
      </w:r>
      <w:r w:rsidR="00137AB0">
        <w:t>,</w:t>
      </w:r>
      <w:r>
        <w:t xml:space="preserve"> and the fair and transparent allocation of costs to foster efficient operations and competition</w:t>
      </w:r>
      <w:r w:rsidR="00137AB0">
        <w:t>,</w:t>
      </w:r>
      <w:r w:rsidR="00137AB0" w:rsidRPr="00137AB0">
        <w:t xml:space="preserve"> </w:t>
      </w:r>
      <w:r w:rsidR="00137AB0">
        <w:t>drive the rationale for the pricing mechanism</w:t>
      </w:r>
      <w:r>
        <w:t>. For instance, in EU electricity market</w:t>
      </w:r>
      <w:r w:rsidR="00577363">
        <w:t>s</w:t>
      </w:r>
      <w:r>
        <w:t xml:space="preserve">, load and generation may have different incentives for the use of the transmission system </w:t>
      </w:r>
      <w:r w:rsidR="00577363">
        <w:t>in</w:t>
      </w:r>
      <w:r>
        <w:t xml:space="preserve"> different countries</w:t>
      </w:r>
      <w:r>
        <w:rPr>
          <w:rStyle w:val="FootnoteReference"/>
        </w:rPr>
        <w:footnoteReference w:id="3"/>
      </w:r>
      <w:r>
        <w:t>. To fos</w:t>
      </w:r>
      <w:r w:rsidR="00577363">
        <w:t>ter market integration</w:t>
      </w:r>
      <w:r w:rsidR="001D5447">
        <w:t>,</w:t>
      </w:r>
      <w:r w:rsidR="00577363">
        <w:t xml:space="preserve"> the EU</w:t>
      </w:r>
      <w:r>
        <w:t xml:space="preserve"> market</w:t>
      </w:r>
      <w:r w:rsidR="00577363">
        <w:t>s more often apply</w:t>
      </w:r>
      <w:r>
        <w:t xml:space="preserve"> time of use pricing signals </w:t>
      </w:r>
      <w:r w:rsidR="00FA3B7E">
        <w:t xml:space="preserve">and Entry Exit pricing </w:t>
      </w:r>
      <w:r w:rsidR="002C70D1">
        <w:t xml:space="preserve">rather than </w:t>
      </w:r>
      <w:r>
        <w:t>locational price signals</w:t>
      </w:r>
      <w:r w:rsidR="001D5447">
        <w:t>,</w:t>
      </w:r>
      <w:r w:rsidR="002C70D1">
        <w:t xml:space="preserve"> which was found to hinder trade</w:t>
      </w:r>
      <w:r>
        <w:t>. The recovery of costs incurred from transmission losses and provision of ancillary services also var</w:t>
      </w:r>
      <w:r w:rsidR="00C14B41">
        <w:t xml:space="preserve">ies across European countries. </w:t>
      </w:r>
    </w:p>
    <w:p w14:paraId="679B248F" w14:textId="07A7AEEA" w:rsidR="007407EA" w:rsidRDefault="00C14B41" w:rsidP="007407EA">
      <w:r>
        <w:t>T</w:t>
      </w:r>
      <w:r w:rsidR="007407EA">
        <w:t xml:space="preserve">he long-term objective </w:t>
      </w:r>
      <w:r w:rsidR="004A5074">
        <w:t xml:space="preserve">for </w:t>
      </w:r>
      <w:r>
        <w:t xml:space="preserve">an integrated </w:t>
      </w:r>
      <w:r w:rsidR="004A5074">
        <w:t xml:space="preserve">Southern African electricity market </w:t>
      </w:r>
      <w:r w:rsidR="007407EA">
        <w:t>should be to develop an efficient cross border pricing mechanism that lowers the cost of meeting customer demand though price signals that accurately reflect the cost of transmitting electricity.</w:t>
      </w:r>
    </w:p>
    <w:p w14:paraId="45D66288" w14:textId="77777777" w:rsidR="007407EA" w:rsidRDefault="001B611D" w:rsidP="007407EA">
      <w:pPr>
        <w:pStyle w:val="Heading2"/>
      </w:pPr>
      <w:bookmarkStart w:id="9" w:name="_Toc506918921"/>
      <w:bookmarkStart w:id="10" w:name="_Toc524014071"/>
      <w:r>
        <w:lastRenderedPageBreak/>
        <w:t>Principles of Cross-border Transmission P</w:t>
      </w:r>
      <w:r w:rsidR="007407EA">
        <w:t>ricing</w:t>
      </w:r>
      <w:bookmarkEnd w:id="9"/>
      <w:bookmarkEnd w:id="10"/>
    </w:p>
    <w:p w14:paraId="4C8EDA6A" w14:textId="7793CCE4" w:rsidR="007407EA" w:rsidRDefault="009B309F" w:rsidP="007407EA">
      <w:r>
        <w:t>T</w:t>
      </w:r>
      <w:r w:rsidR="007407EA">
        <w:t>ransmission charges are driven by the principles of cost reflectivity and cost recovery, and include the following</w:t>
      </w:r>
      <w:r w:rsidR="001B611D">
        <w:t xml:space="preserve"> charges</w:t>
      </w:r>
      <w:r w:rsidR="007407EA">
        <w:t>:</w:t>
      </w:r>
    </w:p>
    <w:p w14:paraId="1F5DFAA3" w14:textId="77777777" w:rsidR="007407EA" w:rsidRPr="002528D7" w:rsidRDefault="001B611D" w:rsidP="002528D7">
      <w:pPr>
        <w:pStyle w:val="Bullet1Last"/>
        <w:spacing w:after="120"/>
        <w:ind w:left="720"/>
        <w:rPr>
          <w:rFonts w:cs="Arial"/>
        </w:rPr>
      </w:pPr>
      <w:r>
        <w:rPr>
          <w:rFonts w:cs="Arial"/>
        </w:rPr>
        <w:t>U</w:t>
      </w:r>
      <w:r w:rsidR="007407EA" w:rsidRPr="002528D7">
        <w:rPr>
          <w:rFonts w:cs="Arial"/>
        </w:rPr>
        <w:t>se of the transmission network;</w:t>
      </w:r>
    </w:p>
    <w:p w14:paraId="736508CB" w14:textId="0A128A5B" w:rsidR="007407EA" w:rsidRPr="002528D7" w:rsidRDefault="001B611D" w:rsidP="002528D7">
      <w:pPr>
        <w:pStyle w:val="Bullet1Last"/>
        <w:spacing w:after="120"/>
        <w:ind w:left="720"/>
        <w:rPr>
          <w:rFonts w:cs="Arial"/>
        </w:rPr>
      </w:pPr>
      <w:r>
        <w:rPr>
          <w:rFonts w:cs="Arial"/>
        </w:rPr>
        <w:t>A</w:t>
      </w:r>
      <w:r w:rsidR="007407EA" w:rsidRPr="002528D7">
        <w:rPr>
          <w:rFonts w:cs="Arial"/>
        </w:rPr>
        <w:t>ncillary services</w:t>
      </w:r>
      <w:r w:rsidR="00106A26">
        <w:rPr>
          <w:rFonts w:cs="Arial"/>
        </w:rPr>
        <w:t xml:space="preserve"> (</w:t>
      </w:r>
      <w:r w:rsidR="00106A26" w:rsidRPr="00106A26">
        <w:rPr>
          <w:rFonts w:cs="Arial"/>
        </w:rPr>
        <w:t>Spinning and Non-Spinning Reserves</w:t>
      </w:r>
      <w:r w:rsidR="00106A26">
        <w:rPr>
          <w:rFonts w:cs="Arial"/>
        </w:rPr>
        <w:t xml:space="preserve">, </w:t>
      </w:r>
      <w:r w:rsidR="00106A26" w:rsidRPr="00106A26">
        <w:rPr>
          <w:rFonts w:cs="Arial"/>
        </w:rPr>
        <w:t>Scheduling and Dispatch</w:t>
      </w:r>
      <w:r w:rsidR="00106A26">
        <w:rPr>
          <w:rFonts w:cs="Arial"/>
        </w:rPr>
        <w:t xml:space="preserve">, </w:t>
      </w:r>
      <w:r w:rsidR="00106A26" w:rsidRPr="00106A26">
        <w:rPr>
          <w:rFonts w:cs="Arial"/>
        </w:rPr>
        <w:t>Load Following</w:t>
      </w:r>
      <w:r w:rsidR="00106A26">
        <w:rPr>
          <w:rFonts w:cs="Arial"/>
        </w:rPr>
        <w:t xml:space="preserve">, </w:t>
      </w:r>
      <w:r w:rsidR="00106A26" w:rsidRPr="00106A26">
        <w:rPr>
          <w:rFonts w:cs="Arial"/>
        </w:rPr>
        <w:t xml:space="preserve">Voltage </w:t>
      </w:r>
      <w:r w:rsidR="00106A26">
        <w:rPr>
          <w:rFonts w:cs="Arial"/>
        </w:rPr>
        <w:t xml:space="preserve">and Frequency </w:t>
      </w:r>
      <w:r w:rsidR="00106A26" w:rsidRPr="00106A26">
        <w:rPr>
          <w:rFonts w:cs="Arial"/>
        </w:rPr>
        <w:t>Control</w:t>
      </w:r>
      <w:r w:rsidR="00106A26">
        <w:rPr>
          <w:rFonts w:cs="Arial"/>
        </w:rPr>
        <w:t xml:space="preserve">, </w:t>
      </w:r>
      <w:r w:rsidR="00106A26" w:rsidRPr="00106A26">
        <w:rPr>
          <w:rFonts w:cs="Arial"/>
        </w:rPr>
        <w:t>Black-start capability</w:t>
      </w:r>
      <w:r w:rsidR="00106A26">
        <w:rPr>
          <w:rFonts w:cs="Arial"/>
        </w:rPr>
        <w:t>, etc.)</w:t>
      </w:r>
      <w:r w:rsidR="00AE77EC">
        <w:rPr>
          <w:rFonts w:cs="Arial"/>
        </w:rPr>
        <w:t>;</w:t>
      </w:r>
    </w:p>
    <w:p w14:paraId="060F3BD3" w14:textId="77777777" w:rsidR="007407EA" w:rsidRPr="002528D7" w:rsidRDefault="001B611D" w:rsidP="002528D7">
      <w:pPr>
        <w:pStyle w:val="Bullet1Last"/>
        <w:spacing w:after="120"/>
        <w:ind w:left="720"/>
        <w:rPr>
          <w:rFonts w:cs="Arial"/>
        </w:rPr>
      </w:pPr>
      <w:r>
        <w:rPr>
          <w:rFonts w:cs="Arial"/>
        </w:rPr>
        <w:t>T</w:t>
      </w:r>
      <w:r w:rsidR="007407EA" w:rsidRPr="002528D7">
        <w:rPr>
          <w:rFonts w:cs="Arial"/>
        </w:rPr>
        <w:t>ransmission losses; and</w:t>
      </w:r>
    </w:p>
    <w:p w14:paraId="01475589" w14:textId="798893AA" w:rsidR="00106A26" w:rsidRPr="00106A26" w:rsidRDefault="001B611D" w:rsidP="00106A26">
      <w:pPr>
        <w:pStyle w:val="Bullet1Last"/>
        <w:spacing w:after="120"/>
        <w:ind w:left="720"/>
        <w:rPr>
          <w:rFonts w:cs="Arial"/>
        </w:rPr>
      </w:pPr>
      <w:r>
        <w:rPr>
          <w:rFonts w:cs="Arial"/>
        </w:rPr>
        <w:t>C</w:t>
      </w:r>
      <w:r w:rsidR="007407EA" w:rsidRPr="002528D7">
        <w:rPr>
          <w:rFonts w:cs="Arial"/>
        </w:rPr>
        <w:t>onnection.</w:t>
      </w:r>
    </w:p>
    <w:p w14:paraId="15968CBF" w14:textId="08E40265" w:rsidR="007407EA" w:rsidRDefault="007407EA" w:rsidP="007407EA">
      <w:r>
        <w:t>Some of the key principles of cross-border transmission pricing include the following</w:t>
      </w:r>
      <w:r>
        <w:rPr>
          <w:rStyle w:val="FootnoteReference"/>
        </w:rPr>
        <w:footnoteReference w:id="4"/>
      </w:r>
      <w:r w:rsidR="001B611D">
        <w:t>:</w:t>
      </w:r>
    </w:p>
    <w:p w14:paraId="4BA23FF2" w14:textId="77777777" w:rsidR="007407EA" w:rsidRPr="002528D7" w:rsidRDefault="007407EA" w:rsidP="002528D7">
      <w:pPr>
        <w:pStyle w:val="Bullet1Last"/>
        <w:spacing w:after="120"/>
        <w:ind w:left="720"/>
        <w:rPr>
          <w:rFonts w:cs="Arial"/>
        </w:rPr>
      </w:pPr>
      <w:r w:rsidRPr="002528D7">
        <w:rPr>
          <w:rFonts w:cs="Arial"/>
        </w:rPr>
        <w:t>Non</w:t>
      </w:r>
      <w:r w:rsidRPr="002528D7">
        <w:rPr>
          <w:rFonts w:ascii="Cambria Math" w:hAnsi="Cambria Math" w:cs="Cambria Math"/>
        </w:rPr>
        <w:t>‐</w:t>
      </w:r>
      <w:r w:rsidRPr="002528D7">
        <w:rPr>
          <w:rFonts w:cs="Arial"/>
        </w:rPr>
        <w:t>discriminatory access to transmission infrastructure and transparent tariffs to enable cross-border trading</w:t>
      </w:r>
      <w:r w:rsidR="001B611D">
        <w:rPr>
          <w:rFonts w:cs="Arial"/>
        </w:rPr>
        <w:t>;</w:t>
      </w:r>
    </w:p>
    <w:p w14:paraId="2A7C0879" w14:textId="77777777" w:rsidR="007407EA" w:rsidRPr="002528D7" w:rsidRDefault="007407EA" w:rsidP="002528D7">
      <w:pPr>
        <w:pStyle w:val="Bullet1Last"/>
        <w:spacing w:after="120"/>
        <w:ind w:left="720"/>
        <w:rPr>
          <w:rFonts w:cs="Arial"/>
        </w:rPr>
      </w:pPr>
      <w:r w:rsidRPr="002528D7">
        <w:rPr>
          <w:rFonts w:cs="Arial"/>
        </w:rPr>
        <w:t>Independent and transparent regulatory review and oversight over transmission services agreements for cross</w:t>
      </w:r>
      <w:r w:rsidRPr="002528D7">
        <w:rPr>
          <w:rFonts w:ascii="Cambria Math" w:hAnsi="Cambria Math" w:cs="Cambria Math"/>
        </w:rPr>
        <w:t>‐</w:t>
      </w:r>
      <w:r w:rsidRPr="002528D7">
        <w:rPr>
          <w:rFonts w:cs="Arial"/>
        </w:rPr>
        <w:t>border transactions including pricing for services and predictability of transmission tariffs</w:t>
      </w:r>
      <w:r w:rsidR="001B611D">
        <w:rPr>
          <w:rFonts w:cs="Arial"/>
        </w:rPr>
        <w:t>;</w:t>
      </w:r>
    </w:p>
    <w:p w14:paraId="735DD076" w14:textId="77777777" w:rsidR="007407EA" w:rsidRPr="002528D7" w:rsidRDefault="007407EA" w:rsidP="002528D7">
      <w:pPr>
        <w:pStyle w:val="Bullet1Last"/>
        <w:spacing w:after="120"/>
        <w:ind w:left="720"/>
        <w:rPr>
          <w:rFonts w:cs="Arial"/>
        </w:rPr>
      </w:pPr>
      <w:r w:rsidRPr="002528D7">
        <w:rPr>
          <w:rFonts w:cs="Arial"/>
        </w:rPr>
        <w:t>Transparent market price signals to promote economic investments in cross-border transmission interlinkages through cost-recovery</w:t>
      </w:r>
      <w:r w:rsidR="001B611D">
        <w:rPr>
          <w:rFonts w:cs="Arial"/>
        </w:rPr>
        <w:t>;</w:t>
      </w:r>
    </w:p>
    <w:p w14:paraId="71133C25" w14:textId="77777777" w:rsidR="007407EA" w:rsidRPr="002528D7" w:rsidRDefault="007407EA" w:rsidP="002528D7">
      <w:pPr>
        <w:pStyle w:val="Bullet1Last"/>
        <w:spacing w:after="120"/>
        <w:ind w:left="720"/>
        <w:rPr>
          <w:rFonts w:cs="Arial"/>
        </w:rPr>
      </w:pPr>
      <w:r w:rsidRPr="002528D7">
        <w:rPr>
          <w:rFonts w:cs="Arial"/>
        </w:rPr>
        <w:t>Harmonization of transmission pricing structures and frameworks</w:t>
      </w:r>
      <w:r w:rsidR="001B611D">
        <w:rPr>
          <w:rFonts w:cs="Arial"/>
        </w:rPr>
        <w:t>;</w:t>
      </w:r>
    </w:p>
    <w:p w14:paraId="09F74C42" w14:textId="77777777" w:rsidR="007407EA" w:rsidRPr="002528D7" w:rsidRDefault="007407EA" w:rsidP="002528D7">
      <w:pPr>
        <w:pStyle w:val="Bullet1Last"/>
        <w:spacing w:after="120"/>
        <w:ind w:left="720"/>
        <w:rPr>
          <w:rFonts w:cs="Arial"/>
        </w:rPr>
      </w:pPr>
      <w:r w:rsidRPr="002528D7">
        <w:rPr>
          <w:rFonts w:cs="Arial"/>
        </w:rPr>
        <w:t>No cross</w:t>
      </w:r>
      <w:r w:rsidRPr="002528D7">
        <w:rPr>
          <w:rFonts w:ascii="Cambria Math" w:hAnsi="Cambria Math" w:cs="Cambria Math"/>
        </w:rPr>
        <w:t>‐</w:t>
      </w:r>
      <w:r w:rsidRPr="002528D7">
        <w:rPr>
          <w:rFonts w:cs="Arial"/>
        </w:rPr>
        <w:t>subsidies between domestic and cross</w:t>
      </w:r>
      <w:r w:rsidRPr="002528D7">
        <w:rPr>
          <w:rFonts w:ascii="Cambria Math" w:hAnsi="Cambria Math" w:cs="Cambria Math"/>
        </w:rPr>
        <w:t>‐</w:t>
      </w:r>
      <w:r w:rsidRPr="002528D7">
        <w:rPr>
          <w:rFonts w:cs="Arial"/>
        </w:rPr>
        <w:t>border transmission pricing</w:t>
      </w:r>
      <w:r w:rsidR="001B611D">
        <w:rPr>
          <w:rFonts w:cs="Arial"/>
        </w:rPr>
        <w:t>;</w:t>
      </w:r>
    </w:p>
    <w:p w14:paraId="6F353A58" w14:textId="77777777" w:rsidR="007407EA" w:rsidRPr="002528D7" w:rsidRDefault="007407EA" w:rsidP="002528D7">
      <w:pPr>
        <w:pStyle w:val="Bullet1Last"/>
        <w:spacing w:after="120"/>
        <w:ind w:left="720"/>
        <w:rPr>
          <w:rFonts w:cs="Arial"/>
        </w:rPr>
      </w:pPr>
      <w:r w:rsidRPr="002528D7">
        <w:rPr>
          <w:rFonts w:cs="Arial"/>
        </w:rPr>
        <w:t>Harmonization between national and cross</w:t>
      </w:r>
      <w:r w:rsidRPr="002528D7">
        <w:rPr>
          <w:rFonts w:ascii="Cambria Math" w:hAnsi="Cambria Math" w:cs="Cambria Math"/>
        </w:rPr>
        <w:t>‐</w:t>
      </w:r>
      <w:r w:rsidRPr="002528D7">
        <w:rPr>
          <w:rFonts w:cs="Arial"/>
        </w:rPr>
        <w:t>border pricing arrangements</w:t>
      </w:r>
      <w:r w:rsidR="001B611D">
        <w:rPr>
          <w:rFonts w:cs="Arial"/>
        </w:rPr>
        <w:t>; and</w:t>
      </w:r>
    </w:p>
    <w:p w14:paraId="680C2EEA" w14:textId="44B6EAA1" w:rsidR="007407EA" w:rsidRDefault="007407EA" w:rsidP="002528D7">
      <w:pPr>
        <w:pStyle w:val="Bullet1Last"/>
        <w:spacing w:after="120"/>
        <w:ind w:left="720"/>
        <w:rPr>
          <w:rFonts w:cs="Arial"/>
        </w:rPr>
      </w:pPr>
      <w:r w:rsidRPr="002528D7">
        <w:rPr>
          <w:rFonts w:cs="Arial"/>
        </w:rPr>
        <w:t>Procurement and pricing of ancillary ser</w:t>
      </w:r>
      <w:r w:rsidR="009B309F">
        <w:rPr>
          <w:rFonts w:cs="Arial"/>
        </w:rPr>
        <w:t>vices and transmission losses that</w:t>
      </w:r>
      <w:r w:rsidRPr="002528D7">
        <w:rPr>
          <w:rFonts w:cs="Arial"/>
        </w:rPr>
        <w:t xml:space="preserve"> ensure</w:t>
      </w:r>
      <w:r w:rsidR="009B309F">
        <w:rPr>
          <w:rFonts w:cs="Arial"/>
        </w:rPr>
        <w:t>s</w:t>
      </w:r>
      <w:r w:rsidRPr="002528D7">
        <w:rPr>
          <w:rFonts w:cs="Arial"/>
        </w:rPr>
        <w:t xml:space="preserve"> operational and financial efficiency of the cross-border and domestic transmission system consistent with SAPP’s operational guidelines</w:t>
      </w:r>
      <w:r w:rsidR="001B611D">
        <w:rPr>
          <w:rFonts w:cs="Arial"/>
        </w:rPr>
        <w:t>.</w:t>
      </w:r>
    </w:p>
    <w:p w14:paraId="0754C797" w14:textId="77777777" w:rsidR="005932CD" w:rsidRPr="001D1F4A" w:rsidRDefault="005932CD" w:rsidP="005932CD">
      <w:pPr>
        <w:pStyle w:val="Heading3"/>
        <w:rPr>
          <w:bCs/>
        </w:rPr>
      </w:pPr>
      <w:r w:rsidRPr="001D1F4A">
        <w:rPr>
          <w:bCs/>
        </w:rPr>
        <w:t>Wheeling Charges</w:t>
      </w:r>
    </w:p>
    <w:p w14:paraId="3853F117" w14:textId="5C7EDDC3" w:rsidR="005932CD" w:rsidRPr="002528D7" w:rsidRDefault="005932CD" w:rsidP="001D1F4A">
      <w:r>
        <w:t>Wheeling charges are a form of transmission charge, where the charge is based on the proportion of transmission assets used to facilitate transfer of power between a generator and a load. In the SAPP network, c</w:t>
      </w:r>
      <w:r w:rsidRPr="00A32EB8">
        <w:t>ross-border power flows through third party networks are charged based on wheeling charges agreed between member countries of SAPP</w:t>
      </w:r>
      <w:r>
        <w:t xml:space="preserve"> (see </w:t>
      </w:r>
      <w:r w:rsidRPr="001B611D">
        <w:t>Annex 1</w:t>
      </w:r>
      <w:r>
        <w:t>).</w:t>
      </w:r>
    </w:p>
    <w:p w14:paraId="3670A50B" w14:textId="77777777" w:rsidR="007407EA" w:rsidRDefault="001B611D" w:rsidP="00577363">
      <w:pPr>
        <w:pStyle w:val="Heading2"/>
      </w:pPr>
      <w:bookmarkStart w:id="11" w:name="_Toc506918922"/>
      <w:bookmarkStart w:id="12" w:name="_Toc524014072"/>
      <w:r>
        <w:t>Impact of T</w:t>
      </w:r>
      <w:r w:rsidR="007407EA">
        <w:t>ransm</w:t>
      </w:r>
      <w:r>
        <w:t>ission Pricing on Cross-border I</w:t>
      </w:r>
      <w:r w:rsidR="007407EA">
        <w:t>nvestments</w:t>
      </w:r>
      <w:bookmarkEnd w:id="11"/>
      <w:bookmarkEnd w:id="12"/>
    </w:p>
    <w:p w14:paraId="1A786F44" w14:textId="3D4BB485" w:rsidR="007407EA" w:rsidRDefault="00983299" w:rsidP="007407EA">
      <w:r>
        <w:t xml:space="preserve">The impact of transmission tariffs on investment decisions to site generation assets is not clear-cut since multiple factors influence the siting and operation of generation assets to meet regional electricity demand. </w:t>
      </w:r>
      <w:r w:rsidR="007407EA">
        <w:t xml:space="preserve">The decision to site generation assets to meet loads across national boundaries is dependent on a number of operational, financial, regulatory and market considerations. </w:t>
      </w:r>
      <w:r w:rsidR="00C5552F">
        <w:t>T</w:t>
      </w:r>
      <w:r w:rsidR="007407EA">
        <w:t>he transmissio</w:t>
      </w:r>
      <w:r w:rsidR="008631B2">
        <w:t>n network and interlinkages,</w:t>
      </w:r>
      <w:r w:rsidR="007407EA">
        <w:t xml:space="preserve"> tariff structure</w:t>
      </w:r>
      <w:r w:rsidR="008631B2">
        <w:t>s and tariffs also influence</w:t>
      </w:r>
      <w:r w:rsidR="007407EA">
        <w:t xml:space="preserve"> investment decision</w:t>
      </w:r>
      <w:r w:rsidR="008631B2">
        <w:t>s</w:t>
      </w:r>
      <w:r w:rsidR="007407EA">
        <w:t xml:space="preserve">. </w:t>
      </w:r>
      <w:r w:rsidR="00C5552F">
        <w:t xml:space="preserve">Further, the costs to be recovered by different entities vary based on the value of assets used for transmission of electricity. </w:t>
      </w:r>
      <w:r w:rsidR="007407EA">
        <w:t xml:space="preserve">While harmonization of transmission pricing structures and frameworks across countries in the Southern African region is </w:t>
      </w:r>
      <w:r w:rsidR="008631B2">
        <w:t xml:space="preserve">desirable to </w:t>
      </w:r>
      <w:r w:rsidR="008631B2">
        <w:lastRenderedPageBreak/>
        <w:t>promote investment</w:t>
      </w:r>
      <w:r w:rsidR="00C5552F">
        <w:t xml:space="preserve"> in transmission and generation assets</w:t>
      </w:r>
      <w:r w:rsidR="007407EA">
        <w:t xml:space="preserve">, it is not necessary to harmonize transmission tariffs since the region presently does not have a unified common electricity market. </w:t>
      </w:r>
    </w:p>
    <w:p w14:paraId="3C9CDCA9" w14:textId="771AB5E7" w:rsidR="007407EA" w:rsidRDefault="007407EA" w:rsidP="00AD639F">
      <w:r>
        <w:t>The SAPP ha</w:t>
      </w:r>
      <w:r w:rsidR="008631B2">
        <w:t xml:space="preserve">s an active, albeit small, Day </w:t>
      </w:r>
      <w:r>
        <w:t xml:space="preserve">Ahead Market (DAM), and with increased integration of the power market in the region, there may be a need </w:t>
      </w:r>
      <w:r w:rsidR="00C14B41">
        <w:t>to harmonize</w:t>
      </w:r>
      <w:r>
        <w:t xml:space="preserve"> cross border transmission tariff </w:t>
      </w:r>
      <w:r w:rsidR="00C14B41">
        <w:t xml:space="preserve">mechanisms to </w:t>
      </w:r>
      <w:r>
        <w:t>promote comp</w:t>
      </w:r>
      <w:r w:rsidR="00C14B41">
        <w:t xml:space="preserve">etition and market integration. Increased market integration in an interconnected transmission network </w:t>
      </w:r>
      <w:r w:rsidR="00B06033">
        <w:t xml:space="preserve">will </w:t>
      </w:r>
      <w:r w:rsidR="00C14B41">
        <w:t xml:space="preserve">likely lead to </w:t>
      </w:r>
      <w:r w:rsidR="00B06033">
        <w:t>congestion in the network, which may require SAPP to adopt n</w:t>
      </w:r>
      <w:r>
        <w:t>odal and/or zonal tariff mecha</w:t>
      </w:r>
      <w:r w:rsidR="00AD639F">
        <w:t>nisms.</w:t>
      </w:r>
    </w:p>
    <w:p w14:paraId="39871C03" w14:textId="77777777" w:rsidR="00AD639F" w:rsidRDefault="00AD639F" w:rsidP="00AD639F">
      <w:pPr>
        <w:pStyle w:val="Heading1"/>
      </w:pPr>
      <w:bookmarkStart w:id="13" w:name="_Toc524014073"/>
      <w:r>
        <w:lastRenderedPageBreak/>
        <w:t>Different Approaches to Estimate Cross-border Transmission Tariffs</w:t>
      </w:r>
      <w:bookmarkEnd w:id="13"/>
    </w:p>
    <w:p w14:paraId="4FC1B4A0" w14:textId="77777777" w:rsidR="00AD639F" w:rsidRDefault="00AD639F" w:rsidP="00AD639F"/>
    <w:p w14:paraId="0B9BEA0F" w14:textId="7A32507E" w:rsidR="00595440" w:rsidRPr="007A0144" w:rsidRDefault="00B06033" w:rsidP="00595440">
      <w:r>
        <w:t>S</w:t>
      </w:r>
      <w:r w:rsidR="00577363">
        <w:t xml:space="preserve">everal </w:t>
      </w:r>
      <w:r>
        <w:t xml:space="preserve">tariff mechanisms are available to </w:t>
      </w:r>
      <w:r w:rsidR="00577363">
        <w:t>estimate</w:t>
      </w:r>
      <w:r w:rsidR="00595440">
        <w:t xml:space="preserve"> cross-border transmission prices in integrated electricity networks. The basic objective is to fully recover the costs of providing transmission services. </w:t>
      </w:r>
      <w:r w:rsidR="00577363">
        <w:t xml:space="preserve">Figure 1 </w:t>
      </w:r>
      <w:r>
        <w:t>illustrates</w:t>
      </w:r>
      <w:r w:rsidR="00577363">
        <w:t xml:space="preserve"> t</w:t>
      </w:r>
      <w:r w:rsidR="00595440">
        <w:t>he key com</w:t>
      </w:r>
      <w:r w:rsidR="00577363">
        <w:t>ponents of a transmission charge</w:t>
      </w:r>
      <w:r w:rsidR="00595440">
        <w:t>.</w:t>
      </w:r>
    </w:p>
    <w:p w14:paraId="776F00B0" w14:textId="4E7D60ED" w:rsidR="00595440" w:rsidRDefault="00595440" w:rsidP="00595440">
      <w:pPr>
        <w:pStyle w:val="Caption"/>
      </w:pPr>
      <w:bookmarkStart w:id="14" w:name="_Ref506896942"/>
      <w:bookmarkStart w:id="15" w:name="_Toc507160828"/>
      <w:r>
        <w:t xml:space="preserve">Figure </w:t>
      </w:r>
      <w:r w:rsidR="00C6623D">
        <w:rPr>
          <w:noProof/>
        </w:rPr>
        <w:fldChar w:fldCharType="begin"/>
      </w:r>
      <w:r w:rsidR="00C6623D">
        <w:rPr>
          <w:noProof/>
        </w:rPr>
        <w:instrText xml:space="preserve"> SEQ Figure \* ARABIC </w:instrText>
      </w:r>
      <w:r w:rsidR="00C6623D">
        <w:rPr>
          <w:noProof/>
        </w:rPr>
        <w:fldChar w:fldCharType="separate"/>
      </w:r>
      <w:r w:rsidR="00DF7F9C">
        <w:rPr>
          <w:noProof/>
        </w:rPr>
        <w:t>1</w:t>
      </w:r>
      <w:r w:rsidR="00C6623D">
        <w:rPr>
          <w:noProof/>
        </w:rPr>
        <w:fldChar w:fldCharType="end"/>
      </w:r>
      <w:bookmarkEnd w:id="14"/>
      <w:r>
        <w:t>: Components of a Cross-Border Electricity Transmission Charges</w:t>
      </w:r>
      <w:bookmarkEnd w:id="15"/>
    </w:p>
    <w:p w14:paraId="787A4576" w14:textId="77777777" w:rsidR="00595440" w:rsidRDefault="00595440" w:rsidP="00595440">
      <w:r>
        <w:rPr>
          <w:noProof/>
          <w:lang w:eastAsia="en-US"/>
        </w:rPr>
        <w:drawing>
          <wp:inline distT="0" distB="0" distL="0" distR="0" wp14:anchorId="2C0CDAF2" wp14:editId="7B76F092">
            <wp:extent cx="5995283" cy="3379305"/>
            <wp:effectExtent l="0" t="0" r="24765" b="1206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5C7C4DE" w14:textId="67F5107A" w:rsidR="00595440" w:rsidRDefault="00B06033" w:rsidP="00595440">
      <w:r>
        <w:t>S</w:t>
      </w:r>
      <w:r w:rsidR="00595440">
        <w:t xml:space="preserve">ome transmission methodologies are transaction-based and </w:t>
      </w:r>
      <w:r w:rsidR="00595440" w:rsidRPr="00C065E8">
        <w:t xml:space="preserve">allocate costs to </w:t>
      </w:r>
      <w:r w:rsidR="00595440">
        <w:t xml:space="preserve">specific entities in a bilateral transaction. Other </w:t>
      </w:r>
      <w:r>
        <w:t>non-transaction-</w:t>
      </w:r>
      <w:r w:rsidR="00595440" w:rsidRPr="00C065E8">
        <w:t xml:space="preserve">based </w:t>
      </w:r>
      <w:r w:rsidR="00595440">
        <w:t xml:space="preserve">methodologies allocate </w:t>
      </w:r>
      <w:r w:rsidR="00595440" w:rsidRPr="00C065E8">
        <w:t xml:space="preserve">costs to all the participants </w:t>
      </w:r>
      <w:r w:rsidR="00595440">
        <w:t xml:space="preserve">in the power </w:t>
      </w:r>
      <w:r w:rsidR="00595440" w:rsidRPr="00C065E8">
        <w:t xml:space="preserve">pool. </w:t>
      </w:r>
      <w:r w:rsidR="00595440">
        <w:t>Some of the commonly applied transmission pricing methodologies include the following:</w:t>
      </w:r>
    </w:p>
    <w:p w14:paraId="5BD83C02" w14:textId="77777777" w:rsidR="00595440" w:rsidRPr="002528D7" w:rsidRDefault="00595440" w:rsidP="00595440">
      <w:pPr>
        <w:pStyle w:val="Bullet1Last"/>
        <w:spacing w:after="120"/>
        <w:ind w:left="720"/>
        <w:rPr>
          <w:rFonts w:cs="Arial"/>
        </w:rPr>
      </w:pPr>
      <w:r w:rsidRPr="002528D7">
        <w:rPr>
          <w:rFonts w:cs="Arial"/>
        </w:rPr>
        <w:t>Postage Stamp Method (transaction / non-transaction)</w:t>
      </w:r>
      <w:r>
        <w:rPr>
          <w:rFonts w:cs="Arial"/>
        </w:rPr>
        <w:t>;</w:t>
      </w:r>
    </w:p>
    <w:p w14:paraId="1182FDE2" w14:textId="77777777" w:rsidR="00595440" w:rsidRPr="002528D7" w:rsidRDefault="00595440" w:rsidP="00595440">
      <w:pPr>
        <w:pStyle w:val="Bullet1Last"/>
        <w:spacing w:after="120"/>
        <w:ind w:left="720"/>
        <w:rPr>
          <w:rFonts w:cs="Arial"/>
        </w:rPr>
      </w:pPr>
      <w:r w:rsidRPr="002528D7">
        <w:rPr>
          <w:rFonts w:cs="Arial"/>
        </w:rPr>
        <w:t>Contract Path Method (transaction based)</w:t>
      </w:r>
      <w:r>
        <w:rPr>
          <w:rFonts w:cs="Arial"/>
        </w:rPr>
        <w:t>;</w:t>
      </w:r>
    </w:p>
    <w:p w14:paraId="209BFFC2" w14:textId="5DB34B96" w:rsidR="00A80821" w:rsidRDefault="00A80821" w:rsidP="00595440">
      <w:pPr>
        <w:pStyle w:val="Bullet1Last"/>
        <w:spacing w:after="120"/>
        <w:ind w:left="720"/>
        <w:rPr>
          <w:rFonts w:cs="Arial"/>
        </w:rPr>
      </w:pPr>
      <w:r w:rsidRPr="002528D7">
        <w:rPr>
          <w:rFonts w:cs="Arial"/>
        </w:rPr>
        <w:t>MW-Mile Method (transaction based)</w:t>
      </w:r>
      <w:r>
        <w:rPr>
          <w:rFonts w:cs="Arial"/>
        </w:rPr>
        <w:t>;</w:t>
      </w:r>
    </w:p>
    <w:p w14:paraId="695282D1" w14:textId="04F3AE84" w:rsidR="00595440" w:rsidRPr="002528D7" w:rsidRDefault="00595440" w:rsidP="00A80821">
      <w:pPr>
        <w:pStyle w:val="Bullet1"/>
        <w:ind w:left="1080"/>
      </w:pPr>
      <w:r w:rsidRPr="002528D7">
        <w:t>Distance Based MW-Mile Method</w:t>
      </w:r>
    </w:p>
    <w:p w14:paraId="1D718337" w14:textId="6329AF53" w:rsidR="00595440" w:rsidRDefault="00595440" w:rsidP="00A80821">
      <w:pPr>
        <w:pStyle w:val="Bullet1"/>
        <w:spacing w:after="120"/>
        <w:ind w:left="1080"/>
      </w:pPr>
      <w:r w:rsidRPr="002528D7">
        <w:t>Power Flow Based MW-Mile Method</w:t>
      </w:r>
    </w:p>
    <w:p w14:paraId="07DBB62A" w14:textId="4DB7470B" w:rsidR="00A80821" w:rsidRDefault="00A80821" w:rsidP="00D46838">
      <w:pPr>
        <w:pStyle w:val="Bullet1Last"/>
        <w:spacing w:after="0"/>
        <w:rPr>
          <w:rFonts w:cs="Arial"/>
        </w:rPr>
      </w:pPr>
      <w:r>
        <w:rPr>
          <w:rFonts w:cs="Arial"/>
        </w:rPr>
        <w:t>Forward</w:t>
      </w:r>
      <w:r w:rsidRPr="00A80821">
        <w:rPr>
          <w:rFonts w:cs="Arial"/>
        </w:rPr>
        <w:t>-Looking Transmission Tariff Models</w:t>
      </w:r>
      <w:r w:rsidR="00D46838">
        <w:rPr>
          <w:rFonts w:cs="Arial"/>
        </w:rPr>
        <w:t xml:space="preserve"> </w:t>
      </w:r>
      <w:r w:rsidR="00D46838" w:rsidRPr="002528D7">
        <w:rPr>
          <w:rFonts w:cs="Arial"/>
        </w:rPr>
        <w:t>(transaction / non-transaction)</w:t>
      </w:r>
      <w:r w:rsidR="00D46838">
        <w:rPr>
          <w:rFonts w:cs="Arial"/>
        </w:rPr>
        <w:t>;</w:t>
      </w:r>
    </w:p>
    <w:p w14:paraId="32A9A4EA" w14:textId="0B51DC85" w:rsidR="00D46838" w:rsidRDefault="00D46838" w:rsidP="00D46838">
      <w:pPr>
        <w:pStyle w:val="Bullet1"/>
        <w:ind w:left="1080"/>
      </w:pPr>
      <w:r w:rsidRPr="00D46838">
        <w:t>Short-run Marginal Cost (SRMC)</w:t>
      </w:r>
    </w:p>
    <w:p w14:paraId="5E8594D5" w14:textId="211961AE" w:rsidR="00D46838" w:rsidRDefault="00D46838" w:rsidP="00D46838">
      <w:pPr>
        <w:pStyle w:val="Bullet1"/>
        <w:ind w:left="1080"/>
      </w:pPr>
      <w:r>
        <w:t>Short-run Incremental Cost (SRIC)</w:t>
      </w:r>
    </w:p>
    <w:p w14:paraId="65C5203B" w14:textId="7CDBA9FD" w:rsidR="00D46838" w:rsidRDefault="00D46838" w:rsidP="00D46838">
      <w:pPr>
        <w:pStyle w:val="Bullet1"/>
        <w:ind w:left="1080"/>
      </w:pPr>
      <w:r>
        <w:t>Long-run Marginal Cost (L</w:t>
      </w:r>
      <w:r w:rsidRPr="00D46838">
        <w:t>RMC)</w:t>
      </w:r>
    </w:p>
    <w:p w14:paraId="5C694243" w14:textId="25E17AEA" w:rsidR="00D46838" w:rsidRPr="00D46838" w:rsidRDefault="00D46838" w:rsidP="00D46838">
      <w:pPr>
        <w:pStyle w:val="Bullet1"/>
        <w:spacing w:after="120"/>
        <w:ind w:left="1080"/>
      </w:pPr>
      <w:r>
        <w:t>Long-run Incremental Cost (LRIC)</w:t>
      </w:r>
    </w:p>
    <w:p w14:paraId="385FF58C" w14:textId="77777777" w:rsidR="00D46838" w:rsidRDefault="00D46838" w:rsidP="00D46838">
      <w:pPr>
        <w:pStyle w:val="Bullet1Last"/>
        <w:spacing w:after="120"/>
        <w:ind w:left="720"/>
        <w:rPr>
          <w:rFonts w:cs="Arial"/>
        </w:rPr>
      </w:pPr>
      <w:r>
        <w:rPr>
          <w:rFonts w:cs="Arial"/>
        </w:rPr>
        <w:t>Nodal Pricing (</w:t>
      </w:r>
      <w:r w:rsidRPr="002528D7">
        <w:rPr>
          <w:rFonts w:cs="Arial"/>
        </w:rPr>
        <w:t>transaction based)</w:t>
      </w:r>
      <w:r>
        <w:rPr>
          <w:rFonts w:cs="Arial"/>
        </w:rPr>
        <w:t>;</w:t>
      </w:r>
    </w:p>
    <w:p w14:paraId="3D812C75" w14:textId="5114BD08" w:rsidR="00D46838" w:rsidRPr="00D46838" w:rsidRDefault="00D46838" w:rsidP="00D46838">
      <w:pPr>
        <w:pStyle w:val="Bullet1Last"/>
        <w:spacing w:after="120"/>
        <w:ind w:left="720"/>
        <w:rPr>
          <w:rFonts w:cs="Arial"/>
        </w:rPr>
      </w:pPr>
      <w:r w:rsidRPr="00D46838">
        <w:rPr>
          <w:rFonts w:cs="Arial"/>
        </w:rPr>
        <w:lastRenderedPageBreak/>
        <w:t xml:space="preserve">Zonal Pricing or </w:t>
      </w:r>
      <w:r>
        <w:rPr>
          <w:rFonts w:cs="Arial"/>
        </w:rPr>
        <w:t>Entry-Exit Pricing (</w:t>
      </w:r>
      <w:r w:rsidRPr="002528D7">
        <w:rPr>
          <w:rFonts w:cs="Arial"/>
        </w:rPr>
        <w:t>transaction based)</w:t>
      </w:r>
      <w:r>
        <w:rPr>
          <w:rFonts w:cs="Arial"/>
        </w:rPr>
        <w:t>;</w:t>
      </w:r>
    </w:p>
    <w:p w14:paraId="26C38F0D" w14:textId="307E30DD" w:rsidR="00595440" w:rsidRPr="002528D7" w:rsidRDefault="00595440" w:rsidP="00D46838">
      <w:pPr>
        <w:pStyle w:val="Bullet1Last"/>
        <w:spacing w:after="120"/>
        <w:ind w:left="720"/>
        <w:rPr>
          <w:rFonts w:cs="Arial"/>
        </w:rPr>
      </w:pPr>
      <w:r w:rsidRPr="002528D7">
        <w:rPr>
          <w:rFonts w:cs="Arial"/>
        </w:rPr>
        <w:t>Power flow tracing based on proportionate sharing principle (non-transaction)</w:t>
      </w:r>
      <w:r>
        <w:rPr>
          <w:rFonts w:cs="Arial"/>
        </w:rPr>
        <w:t>;</w:t>
      </w:r>
      <w:r w:rsidR="00113F86">
        <w:rPr>
          <w:rFonts w:cs="Arial"/>
        </w:rPr>
        <w:t xml:space="preserve"> and</w:t>
      </w:r>
    </w:p>
    <w:p w14:paraId="3753B6CC" w14:textId="5924AC5C" w:rsidR="00595440" w:rsidRPr="002528D7" w:rsidRDefault="00595440" w:rsidP="00595440">
      <w:pPr>
        <w:pStyle w:val="Bullet1Last"/>
        <w:spacing w:after="120"/>
        <w:ind w:left="720"/>
        <w:rPr>
          <w:rFonts w:cs="Arial"/>
        </w:rPr>
      </w:pPr>
      <w:r w:rsidRPr="002528D7">
        <w:rPr>
          <w:rFonts w:cs="Arial"/>
        </w:rPr>
        <w:t>Equivalent bilateral exchange (EBE) method (non-transaction)</w:t>
      </w:r>
      <w:r w:rsidR="00113F86">
        <w:rPr>
          <w:rFonts w:cs="Arial"/>
        </w:rPr>
        <w:t>.</w:t>
      </w:r>
    </w:p>
    <w:p w14:paraId="7144DFBA" w14:textId="29F480A3" w:rsidR="00595440" w:rsidRDefault="00595440" w:rsidP="00142EB5">
      <w:pPr>
        <w:pStyle w:val="Heading2"/>
      </w:pPr>
      <w:bookmarkStart w:id="16" w:name="_Toc506918939"/>
      <w:bookmarkStart w:id="17" w:name="_Toc524014074"/>
      <w:r>
        <w:t>Postage Stamp Method</w:t>
      </w:r>
      <w:bookmarkEnd w:id="16"/>
      <w:r w:rsidR="00DF7F9C">
        <w:t>ology</w:t>
      </w:r>
      <w:bookmarkEnd w:id="17"/>
    </w:p>
    <w:p w14:paraId="1E5A44BD" w14:textId="7FEBB256" w:rsidR="0003320D" w:rsidRDefault="00595440" w:rsidP="0003320D">
      <w:r>
        <w:t xml:space="preserve">The “Postage stamp methodology” is a simple approach to transmission pricing, which effectively applies a fixed charge per unit of power transmitted within a particular zone (as a postage stamp). The rate does </w:t>
      </w:r>
      <w:r w:rsidR="0079603F">
        <w:t xml:space="preserve">not </w:t>
      </w:r>
      <w:r>
        <w:t xml:space="preserve">account for the distance involved in wheeling power within the zone. </w:t>
      </w:r>
      <w:r w:rsidR="00037E60">
        <w:t xml:space="preserve">The postage stamp transmission charges are allocated on the basis of an average embedded system cost and the magnitude of transacted power. Postage stamp rates </w:t>
      </w:r>
      <w:r>
        <w:t>may include energy and capacity charges</w:t>
      </w:r>
      <w:r w:rsidR="00037E60">
        <w:t xml:space="preserve">, and </w:t>
      </w:r>
      <w:r>
        <w:t>may vary for peak and off-peak periods, by season, and be different for weekdays and weekends.</w:t>
      </w:r>
    </w:p>
    <w:p w14:paraId="3044352A" w14:textId="10257C5D" w:rsidR="00595440" w:rsidRDefault="00595440" w:rsidP="00595440">
      <w:r>
        <w:t>Some of the advantages of Postage Stamp Method are:</w:t>
      </w:r>
    </w:p>
    <w:p w14:paraId="43B85936" w14:textId="77777777" w:rsidR="00595440" w:rsidRPr="002528D7" w:rsidRDefault="00595440" w:rsidP="00595440">
      <w:pPr>
        <w:pStyle w:val="Bullet1Last"/>
        <w:spacing w:after="120"/>
        <w:ind w:left="720"/>
        <w:rPr>
          <w:rFonts w:cs="Arial"/>
        </w:rPr>
      </w:pPr>
      <w:r>
        <w:rPr>
          <w:rFonts w:cs="Arial"/>
        </w:rPr>
        <w:t>S</w:t>
      </w:r>
      <w:r w:rsidRPr="002528D7">
        <w:rPr>
          <w:rFonts w:cs="Arial"/>
        </w:rPr>
        <w:t>imple and easy to implement</w:t>
      </w:r>
      <w:r>
        <w:rPr>
          <w:rFonts w:cs="Arial"/>
        </w:rPr>
        <w:t>;</w:t>
      </w:r>
    </w:p>
    <w:p w14:paraId="12433500" w14:textId="527C6D57" w:rsidR="00595440" w:rsidRPr="002528D7" w:rsidRDefault="00595440" w:rsidP="00595440">
      <w:pPr>
        <w:pStyle w:val="Bullet1Last"/>
        <w:spacing w:after="120"/>
        <w:ind w:left="720"/>
        <w:rPr>
          <w:rFonts w:cs="Arial"/>
        </w:rPr>
      </w:pPr>
      <w:r>
        <w:rPr>
          <w:rFonts w:cs="Arial"/>
        </w:rPr>
        <w:t>T</w:t>
      </w:r>
      <w:r w:rsidR="004C0BAF">
        <w:rPr>
          <w:rFonts w:cs="Arial"/>
        </w:rPr>
        <w:t>ransparent and</w:t>
      </w:r>
      <w:r w:rsidRPr="002528D7">
        <w:rPr>
          <w:rFonts w:cs="Arial"/>
        </w:rPr>
        <w:t xml:space="preserve"> easily understood by market participants</w:t>
      </w:r>
      <w:r>
        <w:rPr>
          <w:rFonts w:cs="Arial"/>
        </w:rPr>
        <w:t>;</w:t>
      </w:r>
    </w:p>
    <w:p w14:paraId="3755064F" w14:textId="77777777" w:rsidR="00595440" w:rsidRPr="002528D7" w:rsidRDefault="00595440" w:rsidP="00595440">
      <w:pPr>
        <w:pStyle w:val="Bullet1Last"/>
        <w:spacing w:after="120"/>
        <w:ind w:left="720"/>
        <w:rPr>
          <w:rFonts w:cs="Arial"/>
        </w:rPr>
      </w:pPr>
      <w:r>
        <w:rPr>
          <w:rFonts w:cs="Arial"/>
        </w:rPr>
        <w:t>N</w:t>
      </w:r>
      <w:r w:rsidRPr="002528D7">
        <w:rPr>
          <w:rFonts w:cs="Arial"/>
        </w:rPr>
        <w:t>o mathematical rigor involved</w:t>
      </w:r>
      <w:r>
        <w:rPr>
          <w:rFonts w:cs="Arial"/>
        </w:rPr>
        <w:t>;</w:t>
      </w:r>
    </w:p>
    <w:p w14:paraId="53DFDF36" w14:textId="77777777" w:rsidR="00595440" w:rsidRPr="002528D7" w:rsidRDefault="00595440" w:rsidP="00595440">
      <w:pPr>
        <w:pStyle w:val="Bullet1Last"/>
        <w:spacing w:after="120"/>
        <w:ind w:left="720"/>
        <w:rPr>
          <w:rFonts w:cs="Arial"/>
        </w:rPr>
      </w:pPr>
      <w:r w:rsidRPr="002528D7">
        <w:rPr>
          <w:rFonts w:cs="Arial"/>
        </w:rPr>
        <w:t>Recovers sunk cost of transmission system</w:t>
      </w:r>
      <w:r>
        <w:rPr>
          <w:rFonts w:cs="Arial"/>
        </w:rPr>
        <w:t>; and</w:t>
      </w:r>
    </w:p>
    <w:p w14:paraId="4E8304A4" w14:textId="77777777" w:rsidR="00595440" w:rsidRPr="002528D7" w:rsidRDefault="00595440" w:rsidP="00595440">
      <w:pPr>
        <w:pStyle w:val="Bullet1Last"/>
        <w:spacing w:after="120"/>
        <w:ind w:left="720"/>
        <w:rPr>
          <w:rFonts w:cs="Arial"/>
        </w:rPr>
      </w:pPr>
      <w:r>
        <w:rPr>
          <w:rFonts w:cs="Arial"/>
        </w:rPr>
        <w:t>P</w:t>
      </w:r>
      <w:r w:rsidRPr="002528D7">
        <w:rPr>
          <w:rFonts w:cs="Arial"/>
        </w:rPr>
        <w:t>olitically easy to implement.</w:t>
      </w:r>
    </w:p>
    <w:p w14:paraId="1355E23F" w14:textId="77777777" w:rsidR="00595440" w:rsidRDefault="00595440" w:rsidP="00595440">
      <w:r>
        <w:t xml:space="preserve"> Some of the disadvantages of the Postage Stamp Method are:</w:t>
      </w:r>
    </w:p>
    <w:p w14:paraId="60D5361E" w14:textId="77777777" w:rsidR="00595440" w:rsidRPr="002528D7" w:rsidRDefault="00595440" w:rsidP="00595440">
      <w:pPr>
        <w:pStyle w:val="Bullet1Last"/>
        <w:spacing w:after="120"/>
        <w:ind w:left="720"/>
        <w:rPr>
          <w:rFonts w:cs="Arial"/>
        </w:rPr>
      </w:pPr>
      <w:r w:rsidRPr="002528D7">
        <w:rPr>
          <w:rFonts w:cs="Arial"/>
        </w:rPr>
        <w:t>In case power is transmitted through multiple utilities or zones, pancaking of transmission charges leads to inefficient pricing signals</w:t>
      </w:r>
      <w:r>
        <w:rPr>
          <w:rFonts w:cs="Arial"/>
        </w:rPr>
        <w:t>;</w:t>
      </w:r>
    </w:p>
    <w:p w14:paraId="6E8A15AE" w14:textId="77777777" w:rsidR="00595440" w:rsidRPr="002528D7" w:rsidRDefault="00595440" w:rsidP="00595440">
      <w:pPr>
        <w:pStyle w:val="Bullet1Last"/>
        <w:spacing w:after="120"/>
        <w:ind w:left="720"/>
        <w:rPr>
          <w:rFonts w:cs="Arial"/>
        </w:rPr>
      </w:pPr>
      <w:r>
        <w:rPr>
          <w:rFonts w:cs="Arial"/>
        </w:rPr>
        <w:t>D</w:t>
      </w:r>
      <w:r w:rsidRPr="002528D7">
        <w:rPr>
          <w:rFonts w:cs="Arial"/>
        </w:rPr>
        <w:t>oes not provide economic price signals to market participants</w:t>
      </w:r>
      <w:r>
        <w:rPr>
          <w:rFonts w:cs="Arial"/>
        </w:rPr>
        <w:t>; and</w:t>
      </w:r>
    </w:p>
    <w:p w14:paraId="426EACEC" w14:textId="2535A5F9" w:rsidR="00595440" w:rsidRPr="002528D7" w:rsidRDefault="00595440" w:rsidP="00595440">
      <w:pPr>
        <w:pStyle w:val="Bullet1Last"/>
        <w:spacing w:after="120"/>
        <w:ind w:left="720"/>
        <w:rPr>
          <w:rFonts w:cs="Arial"/>
        </w:rPr>
      </w:pPr>
      <w:r>
        <w:rPr>
          <w:rFonts w:cs="Arial"/>
        </w:rPr>
        <w:t>D</w:t>
      </w:r>
      <w:r w:rsidRPr="002528D7">
        <w:rPr>
          <w:rFonts w:cs="Arial"/>
        </w:rPr>
        <w:t xml:space="preserve">oes not account for </w:t>
      </w:r>
      <w:r>
        <w:rPr>
          <w:rFonts w:cs="Arial"/>
        </w:rPr>
        <w:t xml:space="preserve">the actual </w:t>
      </w:r>
      <w:r w:rsidR="00037E60">
        <w:rPr>
          <w:rFonts w:cs="Arial"/>
        </w:rPr>
        <w:t xml:space="preserve">system power flows and </w:t>
      </w:r>
      <w:r>
        <w:rPr>
          <w:rFonts w:cs="Arial"/>
        </w:rPr>
        <w:t>use of the network – a</w:t>
      </w:r>
      <w:r w:rsidRPr="002528D7">
        <w:rPr>
          <w:rFonts w:cs="Arial"/>
        </w:rPr>
        <w:t xml:space="preserve"> load close to a generator </w:t>
      </w:r>
      <w:r w:rsidR="0079603F">
        <w:rPr>
          <w:rFonts w:cs="Arial"/>
        </w:rPr>
        <w:t xml:space="preserve">may </w:t>
      </w:r>
      <w:r w:rsidRPr="002528D7">
        <w:rPr>
          <w:rFonts w:cs="Arial"/>
        </w:rPr>
        <w:t>pay the same as a load a long distance from the generator</w:t>
      </w:r>
      <w:r>
        <w:rPr>
          <w:rFonts w:cs="Arial"/>
        </w:rPr>
        <w:t>.</w:t>
      </w:r>
    </w:p>
    <w:p w14:paraId="2AECA530" w14:textId="77777777" w:rsidR="00595440" w:rsidRDefault="00595440" w:rsidP="00142EB5">
      <w:pPr>
        <w:pStyle w:val="Heading2"/>
      </w:pPr>
      <w:bookmarkStart w:id="18" w:name="_Toc506918940"/>
      <w:bookmarkStart w:id="19" w:name="_Toc524014075"/>
      <w:r>
        <w:t>Contract Path Methodology</w:t>
      </w:r>
      <w:bookmarkEnd w:id="18"/>
      <w:bookmarkEnd w:id="19"/>
    </w:p>
    <w:p w14:paraId="4AEECB44" w14:textId="069ED50B" w:rsidR="00DD04AE" w:rsidRDefault="00595440" w:rsidP="00DD04AE">
      <w:r>
        <w:t xml:space="preserve">The contract path method </w:t>
      </w:r>
      <w:r w:rsidR="004C0BAF">
        <w:t>charges</w:t>
      </w:r>
      <w:r>
        <w:t xml:space="preserve"> entities based on a pre-defined path of power flow, which is usually the shortest route from the poi</w:t>
      </w:r>
      <w:r w:rsidR="00FF4605">
        <w:t xml:space="preserve">nt of power uptake </w:t>
      </w:r>
      <w:r w:rsidR="00FF4605" w:rsidRPr="00FF4605">
        <w:t>to the point of delivery</w:t>
      </w:r>
      <w:r>
        <w:t xml:space="preserve">. </w:t>
      </w:r>
      <w:r w:rsidR="00DD04AE">
        <w:t xml:space="preserve">The contract path method captures the embedded capital costs for facilities that lie along the assumed contract path. </w:t>
      </w:r>
      <w:r w:rsidRPr="00795D47">
        <w:t xml:space="preserve">This method is </w:t>
      </w:r>
      <w:r w:rsidR="00F63D55">
        <w:t>relevant for networks that</w:t>
      </w:r>
      <w:r>
        <w:t xml:space="preserve"> do not have mul</w:t>
      </w:r>
      <w:r w:rsidR="00DD04AE">
        <w:t>tiple paths of interconnection since the reality is that power flows through m</w:t>
      </w:r>
      <w:r w:rsidR="005F0E6B">
        <w:t>ultiple parallel paths depending</w:t>
      </w:r>
      <w:r w:rsidR="00DD04AE">
        <w:t xml:space="preserve"> on network characteristics.  </w:t>
      </w:r>
    </w:p>
    <w:p w14:paraId="6F1EA748" w14:textId="77777777" w:rsidR="00595440" w:rsidRDefault="00595440" w:rsidP="00595440">
      <w:r>
        <w:t>Some of the advantages of this methodology are:</w:t>
      </w:r>
    </w:p>
    <w:p w14:paraId="06046E8B" w14:textId="77777777" w:rsidR="00595440" w:rsidRPr="002528D7" w:rsidRDefault="00595440" w:rsidP="00595440">
      <w:pPr>
        <w:pStyle w:val="Bullet1Last"/>
        <w:spacing w:after="120"/>
        <w:ind w:left="720"/>
        <w:rPr>
          <w:rFonts w:cs="Arial"/>
        </w:rPr>
      </w:pPr>
      <w:r>
        <w:rPr>
          <w:rFonts w:cs="Arial"/>
        </w:rPr>
        <w:t>R</w:t>
      </w:r>
      <w:r w:rsidRPr="002528D7">
        <w:rPr>
          <w:rFonts w:cs="Arial"/>
        </w:rPr>
        <w:t>elatively simple to implement</w:t>
      </w:r>
      <w:r>
        <w:rPr>
          <w:rFonts w:cs="Arial"/>
        </w:rPr>
        <w:t>;</w:t>
      </w:r>
    </w:p>
    <w:p w14:paraId="731187DC" w14:textId="0AF9591E" w:rsidR="00595440" w:rsidRPr="002528D7" w:rsidRDefault="00595440" w:rsidP="00595440">
      <w:pPr>
        <w:pStyle w:val="Bullet1Last"/>
        <w:spacing w:after="120"/>
        <w:ind w:left="720"/>
        <w:rPr>
          <w:rFonts w:cs="Arial"/>
        </w:rPr>
      </w:pPr>
      <w:r w:rsidRPr="002528D7">
        <w:rPr>
          <w:rFonts w:cs="Arial"/>
        </w:rPr>
        <w:t>Directly or indirectly account</w:t>
      </w:r>
      <w:r w:rsidR="0079603F">
        <w:rPr>
          <w:rFonts w:cs="Arial"/>
        </w:rPr>
        <w:t>s for</w:t>
      </w:r>
      <w:r w:rsidRPr="002528D7">
        <w:rPr>
          <w:rFonts w:cs="Arial"/>
        </w:rPr>
        <w:t xml:space="preserve"> the distance involved in wheeling</w:t>
      </w:r>
      <w:r>
        <w:rPr>
          <w:rFonts w:cs="Arial"/>
        </w:rPr>
        <w:t>; and</w:t>
      </w:r>
    </w:p>
    <w:p w14:paraId="0295FA10" w14:textId="77777777" w:rsidR="00595440" w:rsidRPr="002528D7" w:rsidRDefault="00595440" w:rsidP="00595440">
      <w:pPr>
        <w:pStyle w:val="Bullet1Last"/>
        <w:spacing w:after="120"/>
        <w:ind w:left="720"/>
        <w:rPr>
          <w:rFonts w:cs="Arial"/>
        </w:rPr>
      </w:pPr>
      <w:r>
        <w:rPr>
          <w:rFonts w:cs="Arial"/>
        </w:rPr>
        <w:t>A</w:t>
      </w:r>
      <w:r w:rsidRPr="002528D7">
        <w:rPr>
          <w:rFonts w:cs="Arial"/>
        </w:rPr>
        <w:t>voids pancaking of rates to a large extent</w:t>
      </w:r>
      <w:r>
        <w:rPr>
          <w:rFonts w:cs="Arial"/>
        </w:rPr>
        <w:t>.</w:t>
      </w:r>
    </w:p>
    <w:p w14:paraId="4EA6E418" w14:textId="77777777" w:rsidR="00595440" w:rsidRDefault="00595440" w:rsidP="00595440">
      <w:r>
        <w:t xml:space="preserve"> Some of the disadvantages of the methodology are:</w:t>
      </w:r>
    </w:p>
    <w:p w14:paraId="738953F8" w14:textId="77777777" w:rsidR="00595440" w:rsidRPr="002528D7" w:rsidRDefault="00595440" w:rsidP="00595440">
      <w:pPr>
        <w:pStyle w:val="Bullet1Last"/>
        <w:spacing w:after="120"/>
        <w:ind w:left="720"/>
        <w:rPr>
          <w:rFonts w:cs="Arial"/>
        </w:rPr>
      </w:pPr>
      <w:r w:rsidRPr="002528D7">
        <w:rPr>
          <w:rFonts w:cs="Arial"/>
        </w:rPr>
        <w:t>The contract path between the points of power take-off and injection is decided a priori without any simulation of actual power flows</w:t>
      </w:r>
      <w:r>
        <w:rPr>
          <w:rFonts w:cs="Arial"/>
        </w:rPr>
        <w:t>;</w:t>
      </w:r>
    </w:p>
    <w:p w14:paraId="76674D79" w14:textId="77777777" w:rsidR="00595440" w:rsidRPr="002528D7" w:rsidRDefault="00595440" w:rsidP="00595440">
      <w:pPr>
        <w:pStyle w:val="Bullet1Last"/>
        <w:spacing w:after="120"/>
        <w:ind w:left="720"/>
        <w:rPr>
          <w:rFonts w:cs="Arial"/>
        </w:rPr>
      </w:pPr>
      <w:r w:rsidRPr="002528D7">
        <w:rPr>
          <w:rFonts w:cs="Arial"/>
        </w:rPr>
        <w:lastRenderedPageBreak/>
        <w:t>Power flows cannot be restricted to a particular path if parallel paths are available</w:t>
      </w:r>
      <w:r>
        <w:rPr>
          <w:rFonts w:cs="Arial"/>
        </w:rPr>
        <w:t>; and</w:t>
      </w:r>
    </w:p>
    <w:p w14:paraId="741408E0" w14:textId="601D5A3D" w:rsidR="00595440" w:rsidRPr="002528D7" w:rsidRDefault="0079603F" w:rsidP="00595440">
      <w:pPr>
        <w:pStyle w:val="Bullet1Last"/>
        <w:spacing w:after="120"/>
        <w:ind w:left="720"/>
        <w:rPr>
          <w:rFonts w:cs="Arial"/>
        </w:rPr>
      </w:pPr>
      <w:r>
        <w:rPr>
          <w:rFonts w:cs="Arial"/>
        </w:rPr>
        <w:t>The methodology f</w:t>
      </w:r>
      <w:r w:rsidR="00595440" w:rsidRPr="002528D7">
        <w:rPr>
          <w:rFonts w:cs="Arial"/>
        </w:rPr>
        <w:t>ails to provide correct economic signals since only the entities along the contract path are compensated</w:t>
      </w:r>
      <w:r w:rsidR="00595440">
        <w:rPr>
          <w:rFonts w:cs="Arial"/>
        </w:rPr>
        <w:t>.</w:t>
      </w:r>
    </w:p>
    <w:p w14:paraId="3FA56532" w14:textId="77777777" w:rsidR="00595440" w:rsidRDefault="00595440" w:rsidP="00142EB5">
      <w:pPr>
        <w:pStyle w:val="Heading2"/>
      </w:pPr>
      <w:bookmarkStart w:id="20" w:name="_Toc506918941"/>
      <w:bookmarkStart w:id="21" w:name="_Toc524014076"/>
      <w:r>
        <w:t>MW-Mile Methodology</w:t>
      </w:r>
      <w:bookmarkEnd w:id="20"/>
      <w:bookmarkEnd w:id="21"/>
    </w:p>
    <w:p w14:paraId="536C4834" w14:textId="6D9B9FC1" w:rsidR="00F12231" w:rsidRDefault="001C1BEA" w:rsidP="00F12231">
      <w:r>
        <w:t>The MW-m</w:t>
      </w:r>
      <w:r w:rsidR="00595440">
        <w:t xml:space="preserve">ile method is based on charging entities </w:t>
      </w:r>
      <w:r w:rsidR="0053071A">
        <w:t xml:space="preserve">based on </w:t>
      </w:r>
      <w:r>
        <w:t xml:space="preserve">the magnitude of power transacted and the distance between the source (point of delivery) and the sink (point of receipt). </w:t>
      </w:r>
      <w:r w:rsidR="00595440">
        <w:t>There are two versions of the MW-Mile methodology – the first method does not use load flow simulations a</w:t>
      </w:r>
      <w:r w:rsidR="0053071A">
        <w:t>nd is based on distance of flow, and the second method uses load flow simulations to estimate parallel flow paths in interlinked networks.</w:t>
      </w:r>
    </w:p>
    <w:p w14:paraId="6821A3AF" w14:textId="77777777" w:rsidR="00595440" w:rsidRPr="002528D7" w:rsidRDefault="00595440" w:rsidP="00595440">
      <w:pPr>
        <w:rPr>
          <w:b/>
        </w:rPr>
      </w:pPr>
      <w:r w:rsidRPr="002528D7">
        <w:rPr>
          <w:b/>
        </w:rPr>
        <w:t>Distance Based MW-Mile Methodology</w:t>
      </w:r>
    </w:p>
    <w:p w14:paraId="5F4569FE" w14:textId="1E10E06B" w:rsidR="00DF7F9C" w:rsidRPr="00142EB5" w:rsidRDefault="00595440" w:rsidP="00595440">
      <w:r>
        <w:t>This method estimates the use of transmission assets based on the product of the quantity of the transacted power and the geographical distance between the source and sink. In practice, due to the effect of interlinked networks, there is no fixed relationship between the geographical</w:t>
      </w:r>
      <w:r w:rsidR="00142EB5">
        <w:t xml:space="preserve"> distance and the actual costs.</w:t>
      </w:r>
      <w:r w:rsidR="001C1BEA">
        <w:t xml:space="preserve"> The drawback of this approach is that it does not consider the actual transmission assets involved in the transaction.</w:t>
      </w:r>
    </w:p>
    <w:p w14:paraId="7F3E985C" w14:textId="77777777" w:rsidR="00595440" w:rsidRPr="002528D7" w:rsidRDefault="00595440" w:rsidP="00595440">
      <w:pPr>
        <w:rPr>
          <w:b/>
        </w:rPr>
      </w:pPr>
      <w:r w:rsidRPr="002528D7">
        <w:rPr>
          <w:b/>
        </w:rPr>
        <w:t>Power Flow Based MW-Mile Methodology</w:t>
      </w:r>
    </w:p>
    <w:p w14:paraId="22389542" w14:textId="502509B3" w:rsidR="002C681E" w:rsidRDefault="00595440" w:rsidP="002C681E">
      <w:r>
        <w:t>This method account</w:t>
      </w:r>
      <w:r w:rsidR="0053071A">
        <w:t>s</w:t>
      </w:r>
      <w:r>
        <w:t xml:space="preserve"> </w:t>
      </w:r>
      <w:r w:rsidR="0053071A">
        <w:t xml:space="preserve">for </w:t>
      </w:r>
      <w:r>
        <w:t>the quantity of transacted power and the d</w:t>
      </w:r>
      <w:r w:rsidR="0053071A">
        <w:t>istance between source and sink</w:t>
      </w:r>
      <w:r>
        <w:t xml:space="preserve"> and </w:t>
      </w:r>
      <w:r w:rsidR="0053071A">
        <w:t>also considers parallel flow paths to allocate</w:t>
      </w:r>
      <w:r>
        <w:t xml:space="preserve"> costs. </w:t>
      </w:r>
      <w:r w:rsidRPr="00DE4196">
        <w:t xml:space="preserve">The </w:t>
      </w:r>
      <w:r w:rsidR="0053071A">
        <w:t>power flow-</w:t>
      </w:r>
      <w:r>
        <w:t xml:space="preserve">based </w:t>
      </w:r>
      <w:r w:rsidRPr="00DE4196">
        <w:t xml:space="preserve">MW-Mile methodology </w:t>
      </w:r>
      <w:r w:rsidR="0053071A">
        <w:t xml:space="preserve">uses load flow analysis </w:t>
      </w:r>
      <w:r w:rsidR="00374115">
        <w:t xml:space="preserve">and is reflective of the </w:t>
      </w:r>
      <w:r w:rsidR="00406080">
        <w:t xml:space="preserve">actual usage of the transmission system in allocating costs. </w:t>
      </w:r>
      <w:r>
        <w:t xml:space="preserve">The methodology </w:t>
      </w:r>
      <w:r w:rsidR="00406080">
        <w:t xml:space="preserve">considers the change in power flows on the transmission assets and the distance across which power flows. </w:t>
      </w:r>
    </w:p>
    <w:p w14:paraId="720240AA" w14:textId="281F8631" w:rsidR="00595440" w:rsidRDefault="005F0E6B" w:rsidP="00595440">
      <w:r>
        <w:t>Some of the advantages of this methodology are:</w:t>
      </w:r>
    </w:p>
    <w:p w14:paraId="5B77B77C" w14:textId="77777777" w:rsidR="00595440" w:rsidRPr="002528D7" w:rsidRDefault="00595440" w:rsidP="00595440">
      <w:pPr>
        <w:pStyle w:val="Bullet1Last"/>
        <w:spacing w:after="120"/>
        <w:ind w:left="720"/>
        <w:rPr>
          <w:rFonts w:cs="Arial"/>
        </w:rPr>
      </w:pPr>
      <w:r>
        <w:rPr>
          <w:rFonts w:cs="Arial"/>
        </w:rPr>
        <w:t>C</w:t>
      </w:r>
      <w:r w:rsidRPr="002528D7">
        <w:rPr>
          <w:rFonts w:cs="Arial"/>
        </w:rPr>
        <w:t>onsiders each transaction separately and is insensitive to the order of wheeling transactions</w:t>
      </w:r>
      <w:r>
        <w:rPr>
          <w:rFonts w:cs="Arial"/>
        </w:rPr>
        <w:t>;</w:t>
      </w:r>
    </w:p>
    <w:p w14:paraId="1AC70876" w14:textId="5F31DA8C" w:rsidR="00595440" w:rsidRPr="002528D7" w:rsidRDefault="00595440" w:rsidP="00595440">
      <w:pPr>
        <w:pStyle w:val="Bullet1Last"/>
        <w:spacing w:after="120"/>
        <w:ind w:left="720"/>
        <w:rPr>
          <w:rFonts w:cs="Arial"/>
        </w:rPr>
      </w:pPr>
      <w:r>
        <w:rPr>
          <w:rFonts w:cs="Arial"/>
        </w:rPr>
        <w:t>G</w:t>
      </w:r>
      <w:r w:rsidRPr="002528D7">
        <w:rPr>
          <w:rFonts w:cs="Arial"/>
        </w:rPr>
        <w:t xml:space="preserve">ives the right price signal </w:t>
      </w:r>
      <w:r w:rsidR="0053071A">
        <w:rPr>
          <w:rFonts w:cs="Arial"/>
        </w:rPr>
        <w:t>to both short-distance and long-</w:t>
      </w:r>
      <w:r w:rsidRPr="002528D7">
        <w:rPr>
          <w:rFonts w:cs="Arial"/>
        </w:rPr>
        <w:t>distance entities</w:t>
      </w:r>
      <w:r>
        <w:rPr>
          <w:rFonts w:cs="Arial"/>
        </w:rPr>
        <w:t>; and</w:t>
      </w:r>
    </w:p>
    <w:p w14:paraId="609C465F" w14:textId="77777777" w:rsidR="00595440" w:rsidRPr="002528D7" w:rsidRDefault="00595440" w:rsidP="00595440">
      <w:pPr>
        <w:pStyle w:val="Bullet1Last"/>
        <w:spacing w:after="120"/>
        <w:ind w:left="720"/>
        <w:rPr>
          <w:rFonts w:cs="Arial"/>
        </w:rPr>
      </w:pPr>
      <w:r>
        <w:rPr>
          <w:rFonts w:cs="Arial"/>
        </w:rPr>
        <w:t>I</w:t>
      </w:r>
      <w:r w:rsidRPr="002528D7">
        <w:rPr>
          <w:rFonts w:cs="Arial"/>
        </w:rPr>
        <w:t>ntuitively logical and conceptually straightforward.</w:t>
      </w:r>
    </w:p>
    <w:p w14:paraId="66448A7E" w14:textId="3349F0A7" w:rsidR="00595440" w:rsidRDefault="005F0E6B" w:rsidP="00595440">
      <w:r>
        <w:t>Some of the disadvantages of this methodology are:</w:t>
      </w:r>
    </w:p>
    <w:p w14:paraId="6E81F7C3" w14:textId="290E2799" w:rsidR="00595440" w:rsidRPr="002528D7" w:rsidRDefault="00AB1AA0" w:rsidP="00A10942">
      <w:pPr>
        <w:pStyle w:val="Bullet1Last"/>
      </w:pPr>
      <w:r>
        <w:t>A DC power flow approximation is used to estimate power flows which may inaccurately estimate</w:t>
      </w:r>
      <w:r w:rsidR="00595440" w:rsidRPr="002528D7">
        <w:t xml:space="preserve"> the extent of use of the netwo</w:t>
      </w:r>
      <w:r>
        <w:t xml:space="preserve">rk by a particular transaction (actual AC </w:t>
      </w:r>
      <w:r w:rsidR="00A10942" w:rsidRPr="00A10942">
        <w:rPr>
          <w:rFonts w:cs="Arial"/>
        </w:rPr>
        <w:t xml:space="preserve">power </w:t>
      </w:r>
      <w:r>
        <w:rPr>
          <w:rFonts w:cs="Arial"/>
        </w:rPr>
        <w:t xml:space="preserve">flows in multiple transactions are </w:t>
      </w:r>
      <w:r w:rsidR="00A10942" w:rsidRPr="00A10942">
        <w:rPr>
          <w:rFonts w:cs="Arial"/>
        </w:rPr>
        <w:t>non-linear</w:t>
      </w:r>
      <w:r>
        <w:rPr>
          <w:rFonts w:cs="Arial"/>
        </w:rPr>
        <w:t>)</w:t>
      </w:r>
    </w:p>
    <w:p w14:paraId="0B0AD493" w14:textId="77777777" w:rsidR="00595440" w:rsidRPr="002528D7" w:rsidRDefault="00595440" w:rsidP="00595440">
      <w:pPr>
        <w:pStyle w:val="Bullet1Last"/>
        <w:spacing w:after="120"/>
        <w:ind w:left="720"/>
        <w:rPr>
          <w:rFonts w:cs="Arial"/>
        </w:rPr>
      </w:pPr>
      <w:r>
        <w:rPr>
          <w:rFonts w:cs="Arial"/>
        </w:rPr>
        <w:t xml:space="preserve">Attributes no merit </w:t>
      </w:r>
      <w:r w:rsidRPr="002528D7">
        <w:rPr>
          <w:rFonts w:cs="Arial"/>
        </w:rPr>
        <w:t>to the transactions which give rise to counter flows, thereby reducing loading of the system.</w:t>
      </w:r>
    </w:p>
    <w:p w14:paraId="3989D20F" w14:textId="77777777" w:rsidR="00595440" w:rsidRDefault="00595440" w:rsidP="00142EB5">
      <w:pPr>
        <w:pStyle w:val="Heading2"/>
      </w:pPr>
      <w:bookmarkStart w:id="22" w:name="_Toc506918942"/>
      <w:bookmarkStart w:id="23" w:name="_Toc524014077"/>
      <w:r>
        <w:t>Forward-Looking Transmission Tariff Models</w:t>
      </w:r>
      <w:bookmarkEnd w:id="22"/>
      <w:bookmarkEnd w:id="23"/>
    </w:p>
    <w:p w14:paraId="774C6E4D" w14:textId="77777777" w:rsidR="00595440" w:rsidRPr="002528D7" w:rsidRDefault="00595440" w:rsidP="00595440">
      <w:pPr>
        <w:rPr>
          <w:b/>
        </w:rPr>
      </w:pPr>
      <w:r>
        <w:rPr>
          <w:b/>
        </w:rPr>
        <w:t>Short-run Marginal Cost (S</w:t>
      </w:r>
      <w:r w:rsidRPr="002528D7">
        <w:rPr>
          <w:b/>
        </w:rPr>
        <w:t>R</w:t>
      </w:r>
      <w:r>
        <w:rPr>
          <w:b/>
        </w:rPr>
        <w:t>M</w:t>
      </w:r>
      <w:r w:rsidRPr="002528D7">
        <w:rPr>
          <w:b/>
        </w:rPr>
        <w:t>C)</w:t>
      </w:r>
    </w:p>
    <w:p w14:paraId="4A306C8B" w14:textId="6A184407" w:rsidR="00595440" w:rsidRDefault="00595440" w:rsidP="00595440">
      <w:r>
        <w:t xml:space="preserve">The SRMC </w:t>
      </w:r>
      <w:r w:rsidR="0053071A">
        <w:t xml:space="preserve">methodology </w:t>
      </w:r>
      <w:r>
        <w:t xml:space="preserve">includes the incremental operating cost for the use of the transmission system caused by a new transaction. The SRMC is estimated at all </w:t>
      </w:r>
      <w:r w:rsidR="00216942">
        <w:t>the delivery and receipt points and</w:t>
      </w:r>
      <w:r>
        <w:t xml:space="preserve"> is usually below th</w:t>
      </w:r>
      <w:r w:rsidR="00216942">
        <w:t>e average total cost of the s</w:t>
      </w:r>
      <w:r>
        <w:t>ystem, which could lead to under-recovery of costs.</w:t>
      </w:r>
    </w:p>
    <w:p w14:paraId="490C7238" w14:textId="77777777" w:rsidR="006465E6" w:rsidRDefault="00595440" w:rsidP="00595440">
      <w:r>
        <w:t xml:space="preserve">The primary advantage of </w:t>
      </w:r>
      <w:r w:rsidR="006465E6">
        <w:t>this approach is:</w:t>
      </w:r>
    </w:p>
    <w:p w14:paraId="3EC0F1FA" w14:textId="0DDBEC7F" w:rsidR="00595440" w:rsidRPr="006465E6" w:rsidRDefault="00595440" w:rsidP="006465E6">
      <w:pPr>
        <w:pStyle w:val="ListParagraph"/>
        <w:numPr>
          <w:ilvl w:val="0"/>
          <w:numId w:val="32"/>
        </w:numPr>
        <w:rPr>
          <w:rFonts w:cs="Arial"/>
        </w:rPr>
      </w:pPr>
      <w:r>
        <w:lastRenderedPageBreak/>
        <w:t>it</w:t>
      </w:r>
      <w:r w:rsidRPr="006465E6">
        <w:rPr>
          <w:rFonts w:cs="Arial"/>
        </w:rPr>
        <w:t xml:space="preserve"> promotes economic efficiency, as the price of an individual wheeling transaction is almost equal to the cost imposed on the network due to the transaction.</w:t>
      </w:r>
    </w:p>
    <w:p w14:paraId="0B0FE9BA" w14:textId="32CA5D0A" w:rsidR="00595440" w:rsidRDefault="005F0E6B" w:rsidP="00595440">
      <w:r>
        <w:t>Some of the disadvantages of this approach are:</w:t>
      </w:r>
    </w:p>
    <w:p w14:paraId="7C86393E" w14:textId="77777777" w:rsidR="00595440" w:rsidRPr="002528D7" w:rsidRDefault="00595440" w:rsidP="00595440">
      <w:pPr>
        <w:pStyle w:val="Bullet1Last"/>
        <w:spacing w:after="120"/>
        <w:ind w:left="720"/>
        <w:rPr>
          <w:rFonts w:cs="Arial"/>
        </w:rPr>
      </w:pPr>
      <w:r w:rsidRPr="002528D7">
        <w:rPr>
          <w:rFonts w:cs="Arial"/>
        </w:rPr>
        <w:t>Difficulty in estimating the SRMC of every individual transaction;</w:t>
      </w:r>
      <w:r>
        <w:rPr>
          <w:rFonts w:cs="Arial"/>
        </w:rPr>
        <w:t xml:space="preserve"> and</w:t>
      </w:r>
    </w:p>
    <w:p w14:paraId="444EF3F6" w14:textId="77777777" w:rsidR="00595440" w:rsidRPr="002528D7" w:rsidRDefault="00595440" w:rsidP="00595440">
      <w:pPr>
        <w:pStyle w:val="Bullet1Last"/>
        <w:spacing w:after="120"/>
        <w:ind w:left="720"/>
        <w:rPr>
          <w:rFonts w:cs="Arial"/>
        </w:rPr>
      </w:pPr>
      <w:r w:rsidRPr="002528D7">
        <w:rPr>
          <w:rFonts w:cs="Arial"/>
        </w:rPr>
        <w:t>SRMC-based transmission tariffs can be volatile</w:t>
      </w:r>
      <w:r>
        <w:rPr>
          <w:rFonts w:cs="Arial"/>
        </w:rPr>
        <w:t>.</w:t>
      </w:r>
    </w:p>
    <w:p w14:paraId="23F208B3" w14:textId="7214047F" w:rsidR="00595440" w:rsidRPr="002528D7" w:rsidRDefault="00F63D55" w:rsidP="00595440">
      <w:pPr>
        <w:rPr>
          <w:b/>
        </w:rPr>
      </w:pPr>
      <w:r>
        <w:rPr>
          <w:b/>
        </w:rPr>
        <w:t>Short-run Incremental Cost (SRI</w:t>
      </w:r>
      <w:r w:rsidR="00595440" w:rsidRPr="002528D7">
        <w:rPr>
          <w:b/>
        </w:rPr>
        <w:t>C)</w:t>
      </w:r>
    </w:p>
    <w:p w14:paraId="1F9E736E" w14:textId="6C17DC20" w:rsidR="00F63D55" w:rsidRDefault="00595440" w:rsidP="00595440">
      <w:r>
        <w:t>The SRIC recovers the additional cost caused by new transactions on the network. In calculating the SRIC, only the operating costs of the existing facilities and new transactions are taken into account and allocated to that transaction.</w:t>
      </w:r>
    </w:p>
    <w:p w14:paraId="388F2E2E" w14:textId="77777777" w:rsidR="00595440" w:rsidRPr="002528D7" w:rsidRDefault="00595440" w:rsidP="00595440">
      <w:pPr>
        <w:rPr>
          <w:b/>
        </w:rPr>
      </w:pPr>
      <w:r w:rsidRPr="002528D7">
        <w:rPr>
          <w:b/>
        </w:rPr>
        <w:t>Long-run Marginal Cost (LRMC)</w:t>
      </w:r>
    </w:p>
    <w:p w14:paraId="67EB7705" w14:textId="07B0D042" w:rsidR="00595440" w:rsidRDefault="00595440" w:rsidP="00595440">
      <w:r>
        <w:t>The LRMC approach account</w:t>
      </w:r>
      <w:r w:rsidR="00216942">
        <w:t>s for</w:t>
      </w:r>
      <w:r>
        <w:t xml:space="preserve"> both the capital and operational costs by calculating the marginal capital investment plus the marginal operating costs. Thi</w:t>
      </w:r>
      <w:r w:rsidR="00F63D55">
        <w:t xml:space="preserve">s approach takes account of </w:t>
      </w:r>
      <w:r>
        <w:t>future transmission expansion projects.</w:t>
      </w:r>
    </w:p>
    <w:p w14:paraId="4F41F2A0" w14:textId="192E614B" w:rsidR="00595440" w:rsidRDefault="00595440" w:rsidP="00595440">
      <w:r>
        <w:t xml:space="preserve">Some of the advantages of </w:t>
      </w:r>
      <w:r w:rsidR="005F0E6B">
        <w:t>this approach</w:t>
      </w:r>
      <w:r>
        <w:t xml:space="preserve"> include:</w:t>
      </w:r>
    </w:p>
    <w:p w14:paraId="3005CEF9" w14:textId="3181E338" w:rsidR="00595440" w:rsidRPr="00C1713B" w:rsidRDefault="006465E6" w:rsidP="00595440">
      <w:pPr>
        <w:pStyle w:val="Bullet1Last"/>
        <w:spacing w:after="120"/>
        <w:ind w:left="720"/>
        <w:rPr>
          <w:rFonts w:cs="Arial"/>
        </w:rPr>
      </w:pPr>
      <w:r>
        <w:rPr>
          <w:rFonts w:cs="Arial"/>
        </w:rPr>
        <w:t>Provides</w:t>
      </w:r>
      <w:r w:rsidR="00595440" w:rsidRPr="00C1713B">
        <w:rPr>
          <w:rFonts w:cs="Arial"/>
        </w:rPr>
        <w:t xml:space="preserve"> correct price signals to users of the network</w:t>
      </w:r>
      <w:r w:rsidR="00595440">
        <w:rPr>
          <w:rFonts w:cs="Arial"/>
        </w:rPr>
        <w:t>; and</w:t>
      </w:r>
    </w:p>
    <w:p w14:paraId="69E2010B" w14:textId="7A31FB40" w:rsidR="00595440" w:rsidRPr="00C1713B" w:rsidRDefault="00FF4605" w:rsidP="00595440">
      <w:pPr>
        <w:pStyle w:val="Bullet1Last"/>
        <w:spacing w:after="120"/>
        <w:ind w:left="720"/>
        <w:rPr>
          <w:rFonts w:cs="Arial"/>
        </w:rPr>
      </w:pPr>
      <w:r>
        <w:rPr>
          <w:rFonts w:cs="Arial"/>
        </w:rPr>
        <w:t>P</w:t>
      </w:r>
      <w:r w:rsidR="00595440" w:rsidRPr="00C1713B">
        <w:rPr>
          <w:rFonts w:cs="Arial"/>
        </w:rPr>
        <w:t>rices are stable and predictable</w:t>
      </w:r>
      <w:r>
        <w:rPr>
          <w:rFonts w:cs="Arial"/>
        </w:rPr>
        <w:t>,</w:t>
      </w:r>
      <w:r w:rsidR="00595440" w:rsidRPr="00C1713B">
        <w:rPr>
          <w:rFonts w:cs="Arial"/>
        </w:rPr>
        <w:t xml:space="preserve"> enabling long-term contracts with transmission system owners</w:t>
      </w:r>
      <w:r w:rsidR="00595440">
        <w:rPr>
          <w:rFonts w:cs="Arial"/>
        </w:rPr>
        <w:t>.</w:t>
      </w:r>
    </w:p>
    <w:p w14:paraId="1E4EF3FE" w14:textId="2B2970BE" w:rsidR="00595440" w:rsidRDefault="00595440" w:rsidP="00595440">
      <w:r>
        <w:t>Some of the d</w:t>
      </w:r>
      <w:r w:rsidR="005F0E6B">
        <w:t>isadvantages</w:t>
      </w:r>
      <w:r>
        <w:t xml:space="preserve"> of this approach are: </w:t>
      </w:r>
    </w:p>
    <w:p w14:paraId="55F30774" w14:textId="77777777" w:rsidR="00595440" w:rsidRPr="002528D7" w:rsidRDefault="00595440" w:rsidP="00595440">
      <w:pPr>
        <w:pStyle w:val="Bullet1Last"/>
        <w:spacing w:after="120"/>
        <w:ind w:left="720"/>
        <w:rPr>
          <w:rFonts w:cs="Arial"/>
        </w:rPr>
      </w:pPr>
      <w:r w:rsidRPr="002528D7">
        <w:rPr>
          <w:rFonts w:cs="Arial"/>
        </w:rPr>
        <w:t>Difficulty in estimating the incremental investment costs attributable to individual wheeling transactions, when multiple transactions occur simultaneously</w:t>
      </w:r>
      <w:r>
        <w:rPr>
          <w:rFonts w:cs="Arial"/>
        </w:rPr>
        <w:t>; and</w:t>
      </w:r>
    </w:p>
    <w:p w14:paraId="6771BF1C" w14:textId="77777777" w:rsidR="00595440" w:rsidRPr="002528D7" w:rsidRDefault="00595440" w:rsidP="00595440">
      <w:pPr>
        <w:pStyle w:val="Bullet1Last"/>
        <w:spacing w:after="120"/>
        <w:ind w:left="720"/>
        <w:rPr>
          <w:rFonts w:cs="Arial"/>
        </w:rPr>
      </w:pPr>
      <w:r w:rsidRPr="002528D7">
        <w:rPr>
          <w:rFonts w:cs="Arial"/>
        </w:rPr>
        <w:t>Fails to account for transmission system reliability</w:t>
      </w:r>
      <w:r>
        <w:rPr>
          <w:rFonts w:cs="Arial"/>
        </w:rPr>
        <w:t>.</w:t>
      </w:r>
    </w:p>
    <w:p w14:paraId="11BD8A70" w14:textId="77777777" w:rsidR="00595440" w:rsidRDefault="00595440" w:rsidP="00595440">
      <w:r w:rsidRPr="002528D7">
        <w:rPr>
          <w:b/>
        </w:rPr>
        <w:t>Long-run Incremental Cost (LRIC)</w:t>
      </w:r>
      <w:r>
        <w:t xml:space="preserve"> </w:t>
      </w:r>
    </w:p>
    <w:p w14:paraId="2F74A86E" w14:textId="3B4707C5" w:rsidR="00595440" w:rsidRDefault="00595440" w:rsidP="00595440">
      <w:r>
        <w:t xml:space="preserve">The LRIC accounts for both the capital and operating costs, and </w:t>
      </w:r>
      <w:r w:rsidR="00216942">
        <w:t xml:space="preserve">also </w:t>
      </w:r>
      <w:r>
        <w:t>for the costs of any grid upgrades and reinforcement.</w:t>
      </w:r>
    </w:p>
    <w:p w14:paraId="296E5137" w14:textId="77777777" w:rsidR="00595440" w:rsidRDefault="00595440" w:rsidP="00142EB5">
      <w:pPr>
        <w:pStyle w:val="Heading2"/>
      </w:pPr>
      <w:bookmarkStart w:id="24" w:name="_Toc506918943"/>
      <w:bookmarkStart w:id="25" w:name="_Toc524014078"/>
      <w:r>
        <w:t>Nodal Pricing</w:t>
      </w:r>
      <w:bookmarkEnd w:id="24"/>
      <w:bookmarkEnd w:id="25"/>
    </w:p>
    <w:p w14:paraId="082E68E0" w14:textId="781FE2BA" w:rsidR="00595440" w:rsidRDefault="00595440" w:rsidP="00595440">
      <w:r>
        <w:t>Under the nodal pricing approach, each uptake and i</w:t>
      </w:r>
      <w:r w:rsidR="00216942">
        <w:t>njection node has its own price</w:t>
      </w:r>
      <w:r>
        <w:t xml:space="preserve"> based on locational economic signals. Prices are based on the marginal impact on the system and not on the path followed by flows between the nodes.</w:t>
      </w:r>
    </w:p>
    <w:p w14:paraId="777A0E32" w14:textId="77777777" w:rsidR="00595440" w:rsidRDefault="00595440" w:rsidP="00595440">
      <w:r>
        <w:t>Some of the advantages of this approach are:</w:t>
      </w:r>
    </w:p>
    <w:p w14:paraId="207F968B" w14:textId="21768AB8" w:rsidR="00595440" w:rsidRPr="002528D7" w:rsidRDefault="00595440" w:rsidP="00595440">
      <w:pPr>
        <w:pStyle w:val="Bullet1Last"/>
        <w:spacing w:after="120"/>
        <w:ind w:left="720"/>
        <w:rPr>
          <w:rFonts w:cs="Arial"/>
        </w:rPr>
      </w:pPr>
      <w:r>
        <w:rPr>
          <w:rFonts w:cs="Arial"/>
        </w:rPr>
        <w:t>L</w:t>
      </w:r>
      <w:r w:rsidRPr="002528D7">
        <w:rPr>
          <w:rFonts w:cs="Arial"/>
        </w:rPr>
        <w:t>eads to allocative and dynamic efficiency</w:t>
      </w:r>
      <w:r w:rsidR="00334C37">
        <w:rPr>
          <w:rStyle w:val="FootnoteReference"/>
        </w:rPr>
        <w:footnoteReference w:id="5"/>
      </w:r>
      <w:r>
        <w:rPr>
          <w:rFonts w:cs="Arial"/>
        </w:rPr>
        <w:t>;</w:t>
      </w:r>
    </w:p>
    <w:p w14:paraId="59BF0812" w14:textId="77777777" w:rsidR="00595440" w:rsidRPr="002528D7" w:rsidRDefault="00595440" w:rsidP="00595440">
      <w:pPr>
        <w:pStyle w:val="Bullet1Last"/>
        <w:spacing w:after="120"/>
        <w:ind w:left="720"/>
        <w:rPr>
          <w:rFonts w:cs="Arial"/>
        </w:rPr>
      </w:pPr>
      <w:r w:rsidRPr="002528D7">
        <w:rPr>
          <w:rFonts w:cs="Arial"/>
        </w:rPr>
        <w:t>Provide</w:t>
      </w:r>
      <w:r>
        <w:rPr>
          <w:rFonts w:cs="Arial"/>
        </w:rPr>
        <w:t>s</w:t>
      </w:r>
      <w:r w:rsidRPr="002528D7">
        <w:rPr>
          <w:rFonts w:cs="Arial"/>
        </w:rPr>
        <w:t xml:space="preserve"> potential transmission network investors an indicative return on their investment</w:t>
      </w:r>
      <w:r>
        <w:rPr>
          <w:rFonts w:cs="Arial"/>
        </w:rPr>
        <w:t>; and</w:t>
      </w:r>
    </w:p>
    <w:p w14:paraId="10A56F83" w14:textId="77777777" w:rsidR="00595440" w:rsidRPr="002528D7" w:rsidRDefault="00595440" w:rsidP="00595440">
      <w:pPr>
        <w:pStyle w:val="Bullet1Last"/>
        <w:spacing w:after="120"/>
        <w:ind w:left="720"/>
        <w:rPr>
          <w:rFonts w:cs="Arial"/>
        </w:rPr>
      </w:pPr>
      <w:r w:rsidRPr="002528D7">
        <w:rPr>
          <w:rFonts w:cs="Arial"/>
        </w:rPr>
        <w:t>Provides market participants an indication of the price of power transfers between nodes.</w:t>
      </w:r>
    </w:p>
    <w:p w14:paraId="35B3A751" w14:textId="5F8ABB2E" w:rsidR="00595440" w:rsidRDefault="00595440" w:rsidP="00595440">
      <w:r>
        <w:lastRenderedPageBreak/>
        <w:t xml:space="preserve">Some of the </w:t>
      </w:r>
      <w:r w:rsidR="006465E6">
        <w:t>disadvantages of this</w:t>
      </w:r>
      <w:r>
        <w:t xml:space="preserve"> approach are:</w:t>
      </w:r>
    </w:p>
    <w:p w14:paraId="4826A724" w14:textId="77777777" w:rsidR="00595440" w:rsidRPr="002528D7" w:rsidRDefault="00595440" w:rsidP="00595440">
      <w:pPr>
        <w:pStyle w:val="Bullet1Last"/>
        <w:spacing w:after="120"/>
        <w:ind w:left="720"/>
        <w:rPr>
          <w:rFonts w:cs="Arial"/>
        </w:rPr>
      </w:pPr>
      <w:r>
        <w:rPr>
          <w:rFonts w:cs="Arial"/>
        </w:rPr>
        <w:t>Potential to</w:t>
      </w:r>
      <w:r w:rsidRPr="002528D7">
        <w:rPr>
          <w:rFonts w:cs="Arial"/>
        </w:rPr>
        <w:t xml:space="preserve"> result in under-recovery of fixed costs</w:t>
      </w:r>
      <w:r>
        <w:rPr>
          <w:rFonts w:cs="Arial"/>
        </w:rPr>
        <w:t>;</w:t>
      </w:r>
    </w:p>
    <w:p w14:paraId="0DE6EC51" w14:textId="77777777" w:rsidR="00595440" w:rsidRPr="002528D7" w:rsidRDefault="00595440" w:rsidP="00595440">
      <w:pPr>
        <w:pStyle w:val="Bullet1Last"/>
        <w:spacing w:after="120"/>
        <w:ind w:left="720"/>
        <w:rPr>
          <w:rFonts w:cs="Arial"/>
        </w:rPr>
      </w:pPr>
      <w:r w:rsidRPr="002528D7">
        <w:rPr>
          <w:rFonts w:cs="Arial"/>
        </w:rPr>
        <w:t>Price variations over different nodes instantaneously and over time can create significant instability in prices</w:t>
      </w:r>
      <w:r>
        <w:rPr>
          <w:rFonts w:cs="Arial"/>
        </w:rPr>
        <w:t xml:space="preserve">; and </w:t>
      </w:r>
    </w:p>
    <w:p w14:paraId="6F04A9E7" w14:textId="62A5681D" w:rsidR="00595440" w:rsidRPr="002528D7" w:rsidRDefault="00FF4605" w:rsidP="00595440">
      <w:pPr>
        <w:pStyle w:val="Bullet1Last"/>
        <w:spacing w:after="120"/>
        <w:ind w:left="720"/>
        <w:rPr>
          <w:rFonts w:cs="Arial"/>
        </w:rPr>
      </w:pPr>
      <w:r>
        <w:rPr>
          <w:rFonts w:cs="Arial"/>
        </w:rPr>
        <w:t>C</w:t>
      </w:r>
      <w:r w:rsidR="00595440" w:rsidRPr="002528D7">
        <w:rPr>
          <w:rFonts w:cs="Arial"/>
        </w:rPr>
        <w:t>an be complex to understand and implement</w:t>
      </w:r>
      <w:r w:rsidR="00595440">
        <w:rPr>
          <w:rFonts w:cs="Arial"/>
        </w:rPr>
        <w:t>.</w:t>
      </w:r>
    </w:p>
    <w:p w14:paraId="20F6F1E4" w14:textId="1AA21D60" w:rsidR="00595440" w:rsidRDefault="00595440" w:rsidP="00142EB5">
      <w:pPr>
        <w:pStyle w:val="Heading2"/>
      </w:pPr>
      <w:bookmarkStart w:id="26" w:name="_Toc506918944"/>
      <w:bookmarkStart w:id="27" w:name="_Toc524014079"/>
      <w:r>
        <w:t xml:space="preserve">Zonal Pricing or </w:t>
      </w:r>
      <w:r w:rsidR="00D46838">
        <w:t>Entry-Exit Pricing</w:t>
      </w:r>
      <w:bookmarkEnd w:id="26"/>
      <w:bookmarkEnd w:id="27"/>
    </w:p>
    <w:p w14:paraId="3CAA6BC1" w14:textId="0C500BC1" w:rsidR="00595440" w:rsidRDefault="00595440" w:rsidP="00595440">
      <w:r>
        <w:t xml:space="preserve">Zonal transmission pricing approaches are appropriate to manage congestion in networks. Load flow simulation on the network helps identify constraints </w:t>
      </w:r>
      <w:r w:rsidR="00500A4C">
        <w:t xml:space="preserve">in zones </w:t>
      </w:r>
      <w:r>
        <w:t xml:space="preserve">and estimate a new transmission </w:t>
      </w:r>
      <w:r w:rsidRPr="00BD3818">
        <w:t xml:space="preserve">system price </w:t>
      </w:r>
      <w:r>
        <w:t xml:space="preserve">for </w:t>
      </w:r>
      <w:r w:rsidRPr="00BD3818">
        <w:t>each zone, account</w:t>
      </w:r>
      <w:r>
        <w:t>ing for</w:t>
      </w:r>
      <w:r w:rsidRPr="00BD3818">
        <w:t xml:space="preserve"> the maximum transfer capacity between the areas. </w:t>
      </w:r>
      <w:r>
        <w:t>C</w:t>
      </w:r>
      <w:r w:rsidRPr="00BD3818">
        <w:t xml:space="preserve">ongestion is </w:t>
      </w:r>
      <w:r>
        <w:t xml:space="preserve">addressed by lower </w:t>
      </w:r>
      <w:r w:rsidRPr="00BD3818">
        <w:t>price</w:t>
      </w:r>
      <w:r>
        <w:t>s</w:t>
      </w:r>
      <w:r w:rsidRPr="00BD3818">
        <w:t xml:space="preserve"> in generation surplus areas and </w:t>
      </w:r>
      <w:r>
        <w:t xml:space="preserve">higher prices </w:t>
      </w:r>
      <w:r w:rsidRPr="00BD3818">
        <w:t xml:space="preserve">in generation deficit areas. </w:t>
      </w:r>
      <w:r w:rsidR="0080260C">
        <w:t>Also called the Entry and Exit c</w:t>
      </w:r>
      <w:r w:rsidR="0080260C" w:rsidRPr="0080260C">
        <w:t xml:space="preserve">harge methodology, </w:t>
      </w:r>
      <w:r w:rsidR="0080260C">
        <w:t xml:space="preserve">this approach charges market entities </w:t>
      </w:r>
      <w:r w:rsidR="0080260C" w:rsidRPr="0080260C">
        <w:t>based on metered import and export of power flows at each node of a transmission network. The actual load flows and not distance determines the revenu</w:t>
      </w:r>
      <w:r w:rsidR="0080260C">
        <w:t>es recovered through the charge (also described in Section 5).</w:t>
      </w:r>
    </w:p>
    <w:p w14:paraId="70F4A03B" w14:textId="76B73105" w:rsidR="00595440" w:rsidRDefault="00595440" w:rsidP="00142EB5">
      <w:pPr>
        <w:pStyle w:val="Heading2"/>
      </w:pPr>
      <w:bookmarkStart w:id="28" w:name="_Toc506918945"/>
      <w:bookmarkStart w:id="29" w:name="_Toc524014080"/>
      <w:r>
        <w:t xml:space="preserve">Power Flow Tracing </w:t>
      </w:r>
      <w:r w:rsidR="00FF4605">
        <w:t xml:space="preserve">Based on Proportional Sharing </w:t>
      </w:r>
      <w:r>
        <w:t>Method</w:t>
      </w:r>
      <w:bookmarkEnd w:id="28"/>
      <w:bookmarkEnd w:id="29"/>
    </w:p>
    <w:p w14:paraId="73B3DE75" w14:textId="17E802DB" w:rsidR="00595440" w:rsidRDefault="00FF4605" w:rsidP="00595440">
      <w:r>
        <w:t>P</w:t>
      </w:r>
      <w:r w:rsidR="00595440">
        <w:t>ower flow traci</w:t>
      </w:r>
      <w:r>
        <w:t>ng methods notionally quantify</w:t>
      </w:r>
      <w:r w:rsidR="00595440">
        <w:t xml:space="preserve"> the </w:t>
      </w:r>
      <w:r w:rsidR="00142EB5">
        <w:t>usage</w:t>
      </w:r>
      <w:r w:rsidR="00595440">
        <w:t xml:space="preserve"> of the network elements by various generators and l</w:t>
      </w:r>
      <w:r w:rsidR="00142EB5">
        <w:t>oads</w:t>
      </w:r>
      <w:r w:rsidR="00BF79C5">
        <w:t xml:space="preserve"> and allocate transmission losses</w:t>
      </w:r>
      <w:r w:rsidR="00142EB5">
        <w:t>. Network costs can</w:t>
      </w:r>
      <w:r w:rsidR="00595440">
        <w:t xml:space="preserve"> thus </w:t>
      </w:r>
      <w:r w:rsidR="00142EB5">
        <w:t xml:space="preserve">be </w:t>
      </w:r>
      <w:r w:rsidR="00BF79C5">
        <w:t>allotted to various entities based on the physical flow of power through transmission assets and traces both active and reactive power flows in the network.</w:t>
      </w:r>
      <w:r w:rsidR="00595440">
        <w:t xml:space="preserve"> </w:t>
      </w:r>
      <w:r w:rsidR="00002E3A">
        <w:t xml:space="preserve">The power flow tracing approach </w:t>
      </w:r>
      <w:r w:rsidR="00002E3A" w:rsidRPr="00BF79C5">
        <w:t>determine</w:t>
      </w:r>
      <w:r w:rsidR="00002E3A">
        <w:t xml:space="preserve">s the </w:t>
      </w:r>
      <w:r w:rsidR="00002E3A" w:rsidRPr="00BF79C5">
        <w:t xml:space="preserve">most economical </w:t>
      </w:r>
      <w:r w:rsidR="00002E3A">
        <w:t xml:space="preserve">transmission path to be used to deliver power based on estimating transmission losses on transmission lines and avoiding paths with higher losses. </w:t>
      </w:r>
      <w:r w:rsidR="00BF79C5">
        <w:t xml:space="preserve">This approach requires </w:t>
      </w:r>
      <w:r w:rsidR="00002E3A">
        <w:t xml:space="preserve">finding a valid power flow solution based on </w:t>
      </w:r>
      <w:r w:rsidR="00595440">
        <w:t xml:space="preserve">the principle of </w:t>
      </w:r>
      <w:r>
        <w:t>proportional</w:t>
      </w:r>
      <w:r w:rsidR="00595440" w:rsidRPr="0045168C">
        <w:t xml:space="preserve"> sharing</w:t>
      </w:r>
      <w:r w:rsidR="00595440">
        <w:t xml:space="preserve"> </w:t>
      </w:r>
      <w:r w:rsidR="00002E3A">
        <w:t>of transmission lines between generator and load</w:t>
      </w:r>
      <w:r w:rsidR="00595440" w:rsidRPr="0045168C">
        <w:t xml:space="preserve">. </w:t>
      </w:r>
    </w:p>
    <w:p w14:paraId="566A256A" w14:textId="77777777" w:rsidR="00595440" w:rsidRDefault="00595440" w:rsidP="00142EB5">
      <w:pPr>
        <w:pStyle w:val="Heading2"/>
      </w:pPr>
      <w:bookmarkStart w:id="30" w:name="_Toc506918946"/>
      <w:bookmarkStart w:id="31" w:name="_Toc524014081"/>
      <w:r>
        <w:t>Equivalent Bilateral Exchange (EBE) Method</w:t>
      </w:r>
      <w:bookmarkEnd w:id="30"/>
      <w:bookmarkEnd w:id="31"/>
    </w:p>
    <w:p w14:paraId="5C5341EA" w14:textId="1A180C2E" w:rsidR="00595440" w:rsidRDefault="00595440" w:rsidP="00595440">
      <w:r>
        <w:t>The equivalent bilateral exchange model works on similar principles as the power flow tracing methodology with the exception that each generator is assumed to supply a fraction of each load in proportion to its contribution to total generation</w:t>
      </w:r>
      <w:r w:rsidR="001E7605">
        <w:t xml:space="preserve"> capacity on the power system</w:t>
      </w:r>
      <w:r>
        <w:t>. Each demand is supplied by a fraction of each generator uniformly divided among all generators</w:t>
      </w:r>
      <w:r w:rsidR="001E7605">
        <w:t xml:space="preserve"> on the system. E</w:t>
      </w:r>
      <w:r>
        <w:t>ach generator supplies a fraction of each demand uniformly divided among all demands. So, all generators do not contribute to all loads and a generator or a load may contribute</w:t>
      </w:r>
      <w:r w:rsidR="00FF4605">
        <w:t xml:space="preserve"> to flows of only some lines and</w:t>
      </w:r>
      <w:r>
        <w:t xml:space="preserve"> not all.</w:t>
      </w:r>
      <w:r w:rsidR="001E7605">
        <w:t xml:space="preserve"> The EBE </w:t>
      </w:r>
      <w:r w:rsidR="001E7605" w:rsidRPr="001E7605">
        <w:t xml:space="preserve">method of transmission pricing works </w:t>
      </w:r>
      <w:r w:rsidR="001E7605">
        <w:t xml:space="preserve">well </w:t>
      </w:r>
      <w:r w:rsidR="001E7605" w:rsidRPr="001E7605">
        <w:t>for pool structure</w:t>
      </w:r>
      <w:r w:rsidR="004E7F76">
        <w:t>s</w:t>
      </w:r>
      <w:r w:rsidR="001E7605" w:rsidRPr="001E7605">
        <w:t xml:space="preserve"> of power markets</w:t>
      </w:r>
      <w:r w:rsidR="001E7605">
        <w:t xml:space="preserve"> and can also be used for bilateral trades</w:t>
      </w:r>
      <w:r w:rsidR="001E7605" w:rsidRPr="001E7605">
        <w:t xml:space="preserve">. The nodal charges for customers </w:t>
      </w:r>
      <w:r w:rsidR="001E7605">
        <w:t xml:space="preserve">in the power pool </w:t>
      </w:r>
      <w:r w:rsidR="001E7605" w:rsidRPr="001E7605">
        <w:t xml:space="preserve">are calculated </w:t>
      </w:r>
      <w:r w:rsidR="001E7605">
        <w:t xml:space="preserve">by </w:t>
      </w:r>
      <w:r w:rsidR="001E7605" w:rsidRPr="001E7605">
        <w:t>applying proportionate sh</w:t>
      </w:r>
      <w:r w:rsidR="001E7605">
        <w:t>aring principle.</w:t>
      </w:r>
    </w:p>
    <w:p w14:paraId="35D483DE" w14:textId="7A60E0AA" w:rsidR="00B22DCB" w:rsidRDefault="00B22DCB" w:rsidP="00EA4151">
      <w:pPr>
        <w:pStyle w:val="Heading1"/>
      </w:pPr>
      <w:bookmarkStart w:id="32" w:name="_Toc524014082"/>
      <w:r>
        <w:lastRenderedPageBreak/>
        <w:t>Process for Applying a Transmission Tariff Methodology</w:t>
      </w:r>
      <w:bookmarkEnd w:id="32"/>
    </w:p>
    <w:p w14:paraId="34D3A4EE" w14:textId="77777777" w:rsidR="00B22DCB" w:rsidRPr="00EA4151" w:rsidRDefault="00B22DCB" w:rsidP="00EA4151">
      <w:pPr>
        <w:pStyle w:val="Heading2"/>
      </w:pPr>
      <w:bookmarkStart w:id="33" w:name="_Toc524014083"/>
      <w:r w:rsidRPr="00EA4151">
        <w:t>Cross-border Transmission Pricing and Tariff Models</w:t>
      </w:r>
      <w:bookmarkEnd w:id="33"/>
    </w:p>
    <w:p w14:paraId="366B0AAA" w14:textId="56E256DF" w:rsidR="00B22DCB" w:rsidRDefault="00B22DCB" w:rsidP="00B22DCB">
      <w:r>
        <w:t xml:space="preserve">Once a cross-border transmission tariff structure and methodology is </w:t>
      </w:r>
      <w:r w:rsidR="000A335B">
        <w:t>adopted</w:t>
      </w:r>
      <w:r>
        <w:t xml:space="preserve">, a transmission pricing model is developed. Developing a transmission pricing model entails significant costs and includes modules for asset databases, tariff algorithms, and billing and settlement processes. </w:t>
      </w:r>
      <w:r w:rsidR="00C3633F">
        <w:t xml:space="preserve">The modules of the transmission pricing module will depend on the electricity market structure. In the context of the SAPP market which operates as a power pool, the </w:t>
      </w:r>
      <w:r>
        <w:t xml:space="preserve">Transmission System Operator (TSO) </w:t>
      </w:r>
      <w:r w:rsidR="00C3633F">
        <w:t xml:space="preserve">would </w:t>
      </w:r>
      <w:r>
        <w:t>provide information to a System and Market Operator (SMO) under SAPP, and th</w:t>
      </w:r>
      <w:r w:rsidR="00C27DCA">
        <w:t xml:space="preserve">e SMO </w:t>
      </w:r>
      <w:r w:rsidR="00C3633F">
        <w:t>would define</w:t>
      </w:r>
      <w:r w:rsidR="00C27DCA">
        <w:t xml:space="preserve"> </w:t>
      </w:r>
      <w:r>
        <w:t>the periodicity of submission of information</w:t>
      </w:r>
      <w:r w:rsidR="00C3633F">
        <w:t xml:space="preserve"> for the pricing model</w:t>
      </w:r>
      <w:r>
        <w:t xml:space="preserve">. The pricing model may be tested and refined using </w:t>
      </w:r>
      <w:r w:rsidR="00C3633F">
        <w:t xml:space="preserve">data from </w:t>
      </w:r>
      <w:r>
        <w:t>existing regional bilateral trades.</w:t>
      </w:r>
    </w:p>
    <w:p w14:paraId="4384EB2F" w14:textId="77777777" w:rsidR="00B22DCB" w:rsidRPr="00EA4151" w:rsidRDefault="00B22DCB" w:rsidP="00EA4151">
      <w:pPr>
        <w:pStyle w:val="Heading2"/>
      </w:pPr>
      <w:bookmarkStart w:id="34" w:name="_Toc524014084"/>
      <w:r w:rsidRPr="00EA4151">
        <w:t>Transmission Tariff Approval Process</w:t>
      </w:r>
      <w:bookmarkEnd w:id="34"/>
    </w:p>
    <w:p w14:paraId="5D3F323B" w14:textId="11048EF1" w:rsidR="00B22DCB" w:rsidRPr="00115D8F" w:rsidRDefault="00B22DCB" w:rsidP="00B22DCB">
      <w:r>
        <w:t>Typically, the regulator(s) approves transmission tariffs that are estimated each year using the model. Loads (utilities and large customers) may continue to enter into bilateral agreements for specific contracts.</w:t>
      </w:r>
      <w:r w:rsidR="001F72FC">
        <w:t xml:space="preserve"> In the case of the Southern Africa region, SAPP, the national regulators and RERA </w:t>
      </w:r>
      <w:r w:rsidR="00C27DCA">
        <w:t>must</w:t>
      </w:r>
      <w:r w:rsidR="001F72FC">
        <w:t xml:space="preserve"> approve transmission pricing models for </w:t>
      </w:r>
      <w:r w:rsidR="00686E50">
        <w:t xml:space="preserve">pool and bilateral </w:t>
      </w:r>
      <w:r w:rsidR="001F72FC">
        <w:t>operation</w:t>
      </w:r>
      <w:r w:rsidR="000A335B">
        <w:t>s in an integrated regional market</w:t>
      </w:r>
      <w:r w:rsidR="001F72FC">
        <w:t>.</w:t>
      </w:r>
      <w:r w:rsidR="00686E50">
        <w:t xml:space="preserve"> Intra-count</w:t>
      </w:r>
      <w:r w:rsidR="004E7F76">
        <w:t>r</w:t>
      </w:r>
      <w:r w:rsidR="00686E50">
        <w:t>y transmission pricing models would be approved only by the national regulator.</w:t>
      </w:r>
    </w:p>
    <w:p w14:paraId="5C76D833" w14:textId="77777777" w:rsidR="00B22DCB" w:rsidRPr="00EA4151" w:rsidRDefault="00B22DCB" w:rsidP="00EA4151">
      <w:pPr>
        <w:pStyle w:val="Heading2"/>
      </w:pPr>
      <w:bookmarkStart w:id="35" w:name="_Toc524014085"/>
      <w:r w:rsidRPr="00EA4151">
        <w:t>Procedures for Review and Modification of Tariffs</w:t>
      </w:r>
      <w:bookmarkEnd w:id="35"/>
    </w:p>
    <w:p w14:paraId="56510367" w14:textId="5BB34F80" w:rsidR="00B22DCB" w:rsidRPr="00117953" w:rsidRDefault="00B22DCB" w:rsidP="00B22DCB">
      <w:r>
        <w:t xml:space="preserve">The regulator will typically define the periodicity </w:t>
      </w:r>
      <w:r w:rsidR="000A335B">
        <w:t>of tariff review</w:t>
      </w:r>
      <w:r>
        <w:t>, as well as review and revise the tariff methodology and model as necessitated by changing market objectives and operational conditions.</w:t>
      </w:r>
    </w:p>
    <w:p w14:paraId="7CFC6F50" w14:textId="70E109A9" w:rsidR="00B22DCB" w:rsidRPr="00EA4151" w:rsidRDefault="00BA4A1D" w:rsidP="00EA4151">
      <w:pPr>
        <w:pStyle w:val="Heading2"/>
      </w:pPr>
      <w:bookmarkStart w:id="36" w:name="_Toc524014086"/>
      <w:r>
        <w:t>Revenue Collection</w:t>
      </w:r>
      <w:r w:rsidR="00B22DCB" w:rsidRPr="00EA4151">
        <w:t xml:space="preserve"> and Payment Mechanisms</w:t>
      </w:r>
      <w:bookmarkEnd w:id="36"/>
    </w:p>
    <w:p w14:paraId="73DDCD22" w14:textId="79957175" w:rsidR="00595440" w:rsidRDefault="00B22DCB" w:rsidP="00341ADF">
      <w:r>
        <w:t xml:space="preserve">Typically, </w:t>
      </w:r>
      <w:r w:rsidR="000A335B">
        <w:t>a</w:t>
      </w:r>
      <w:r w:rsidR="004E7F76">
        <w:t>n</w:t>
      </w:r>
      <w:r w:rsidR="000A335B">
        <w:t xml:space="preserve"> SMO</w:t>
      </w:r>
      <w:r>
        <w:t xml:space="preserve"> collect</w:t>
      </w:r>
      <w:r w:rsidR="00491345">
        <w:t>s</w:t>
      </w:r>
      <w:r>
        <w:t xml:space="preserve"> the revenue from purchasers of bilateral trades</w:t>
      </w:r>
      <w:r w:rsidR="00491345">
        <w:t>, and t</w:t>
      </w:r>
      <w:r>
        <w:t>his revenue cover</w:t>
      </w:r>
      <w:r w:rsidR="00491345">
        <w:t>s</w:t>
      </w:r>
      <w:r>
        <w:t xml:space="preserve"> the cost of the power trade (capacity and energy charges), any charges for losses and congestion, and a fee for the operations of the S</w:t>
      </w:r>
      <w:r w:rsidR="00491345">
        <w:t>M</w:t>
      </w:r>
      <w:r>
        <w:t xml:space="preserve">O and </w:t>
      </w:r>
      <w:r w:rsidR="000A335B">
        <w:t xml:space="preserve">the </w:t>
      </w:r>
      <w:r>
        <w:t>regulator</w:t>
      </w:r>
      <w:r>
        <w:rPr>
          <w:rStyle w:val="FootnoteReference"/>
        </w:rPr>
        <w:footnoteReference w:id="6"/>
      </w:r>
      <w:r>
        <w:t>. The S</w:t>
      </w:r>
      <w:r w:rsidR="00491345">
        <w:t>M</w:t>
      </w:r>
      <w:r>
        <w:t>O then pay</w:t>
      </w:r>
      <w:r w:rsidR="00491345">
        <w:t>s</w:t>
      </w:r>
      <w:r>
        <w:t xml:space="preserve"> the TSO based on the agreed tariff allocation methodology. Billing and settlements for power trades are done on a periodic basis based on energy trading schedules provided by the purchaser of the regional bilateral trade.</w:t>
      </w:r>
    </w:p>
    <w:p w14:paraId="2BBE29E7" w14:textId="24D20012" w:rsidR="007407EA" w:rsidRDefault="00A928AD" w:rsidP="008631B2">
      <w:pPr>
        <w:pStyle w:val="Heading1"/>
      </w:pPr>
      <w:bookmarkStart w:id="37" w:name="_Toc506918925"/>
      <w:bookmarkStart w:id="38" w:name="_Toc524014087"/>
      <w:r>
        <w:lastRenderedPageBreak/>
        <w:t>review of international practice for</w:t>
      </w:r>
      <w:r w:rsidR="007407EA">
        <w:t xml:space="preserve"> </w:t>
      </w:r>
      <w:r w:rsidR="001B611D">
        <w:t>C</w:t>
      </w:r>
      <w:r w:rsidR="007407EA">
        <w:t xml:space="preserve">ross-border </w:t>
      </w:r>
      <w:r w:rsidR="001B611D">
        <w:t>Transmission T</w:t>
      </w:r>
      <w:r w:rsidR="007407EA">
        <w:t>ariffs</w:t>
      </w:r>
      <w:bookmarkEnd w:id="37"/>
      <w:bookmarkEnd w:id="38"/>
    </w:p>
    <w:p w14:paraId="395A4993" w14:textId="247EFB38" w:rsidR="007407EA" w:rsidRDefault="007407EA" w:rsidP="007407EA">
      <w:r>
        <w:t xml:space="preserve">The structure for cross-border transmission tariffs is </w:t>
      </w:r>
      <w:r w:rsidR="00742D58">
        <w:t>driven by the objectives of a given regional electricity market</w:t>
      </w:r>
      <w:r w:rsidR="00BD7030">
        <w:t>. While the basic princip</w:t>
      </w:r>
      <w:r>
        <w:t>l</w:t>
      </w:r>
      <w:r w:rsidR="00BD7030">
        <w:t>e</w:t>
      </w:r>
      <w:r>
        <w:t xml:space="preserve"> is to recover the cost of electr</w:t>
      </w:r>
      <w:r w:rsidR="00A928AD">
        <w:t>icity transmission services,</w:t>
      </w:r>
      <w:r>
        <w:t xml:space="preserve"> appro</w:t>
      </w:r>
      <w:r w:rsidR="00BD7030">
        <w:t>aches to transmission pricing are</w:t>
      </w:r>
      <w:r>
        <w:t xml:space="preserve"> also driven by national objectives of countries and transmission network operators participating in the common market. Internationally,</w:t>
      </w:r>
      <w:r w:rsidR="00305C0B">
        <w:t xml:space="preserve"> there is no consensus on </w:t>
      </w:r>
      <w:r w:rsidR="000A335B">
        <w:t xml:space="preserve">an </w:t>
      </w:r>
      <w:r w:rsidR="00305C0B">
        <w:t>approach</w:t>
      </w:r>
      <w:r>
        <w:t xml:space="preserve"> </w:t>
      </w:r>
      <w:r w:rsidR="00305C0B">
        <w:t xml:space="preserve">and </w:t>
      </w:r>
      <w:r>
        <w:t xml:space="preserve">many different </w:t>
      </w:r>
      <w:r w:rsidR="00305C0B">
        <w:t>pricing systems</w:t>
      </w:r>
      <w:r>
        <w:t xml:space="preserve"> and associated tariff structures are </w:t>
      </w:r>
      <w:r w:rsidR="000A335B">
        <w:t>in use</w:t>
      </w:r>
      <w:r w:rsidR="00305C0B">
        <w:t xml:space="preserve"> depending on the objectives of each market and </w:t>
      </w:r>
      <w:r>
        <w:t>the consen</w:t>
      </w:r>
      <w:r w:rsidR="00BD7030">
        <w:t>sus of participating entities. The</w:t>
      </w:r>
      <w:r>
        <w:t xml:space="preserve"> key consideration in adopting a</w:t>
      </w:r>
      <w:r w:rsidR="00BD7030">
        <w:t>ny</w:t>
      </w:r>
      <w:r>
        <w:t xml:space="preserve"> methodology </w:t>
      </w:r>
      <w:r w:rsidR="00BD7030">
        <w:t>is</w:t>
      </w:r>
      <w:r>
        <w:t xml:space="preserve"> to examine the extent to which it promotes market integration, competition and effective functioning of the electricity market</w:t>
      </w:r>
      <w:bookmarkStart w:id="39" w:name="_Ref506894826"/>
      <w:r>
        <w:rPr>
          <w:rStyle w:val="FootnoteReference"/>
        </w:rPr>
        <w:footnoteReference w:id="7"/>
      </w:r>
      <w:bookmarkEnd w:id="39"/>
      <w:r>
        <w:t>.</w:t>
      </w:r>
    </w:p>
    <w:p w14:paraId="4C96B72F" w14:textId="404EC47B" w:rsidR="007407EA" w:rsidRDefault="00BD7030" w:rsidP="00142EB5">
      <w:pPr>
        <w:pStyle w:val="Heading2"/>
      </w:pPr>
      <w:bookmarkStart w:id="40" w:name="_Toc506918926"/>
      <w:bookmarkStart w:id="41" w:name="_Toc524014088"/>
      <w:r>
        <w:t>West Africa Power Pool</w:t>
      </w:r>
      <w:r w:rsidR="007407EA">
        <w:t xml:space="preserve"> </w:t>
      </w:r>
      <w:r>
        <w:t>(</w:t>
      </w:r>
      <w:r w:rsidR="007407EA">
        <w:t>WAPP</w:t>
      </w:r>
      <w:bookmarkEnd w:id="40"/>
      <w:r>
        <w:t>)</w:t>
      </w:r>
      <w:bookmarkEnd w:id="41"/>
    </w:p>
    <w:p w14:paraId="4CFE677B" w14:textId="0DF180D5" w:rsidR="007407EA" w:rsidRDefault="00137AB0" w:rsidP="007407EA">
      <w:r>
        <w:t>T</w:t>
      </w:r>
      <w:r w:rsidR="007407EA">
        <w:t>he E</w:t>
      </w:r>
      <w:r w:rsidR="00742D58">
        <w:t xml:space="preserve">conomic Community of West </w:t>
      </w:r>
      <w:r w:rsidR="00595440">
        <w:t xml:space="preserve">African States </w:t>
      </w:r>
      <w:r w:rsidR="007407EA">
        <w:t>Regional Electricity Regulatory Authority</w:t>
      </w:r>
      <w:r w:rsidR="00595440">
        <w:t xml:space="preserve"> (ERERA)</w:t>
      </w:r>
      <w:r w:rsidR="000A335B">
        <w:t xml:space="preserve"> has adopted a power flow-</w:t>
      </w:r>
      <w:r w:rsidR="007407EA">
        <w:t>based MW-km</w:t>
      </w:r>
      <w:r w:rsidR="00305C0B">
        <w:t xml:space="preserve"> methodology</w:t>
      </w:r>
      <w:r w:rsidR="007407EA">
        <w:t xml:space="preserve"> for pricing transmission services in the </w:t>
      </w:r>
      <w:r w:rsidR="00742D58">
        <w:t>WAPP</w:t>
      </w:r>
      <w:r w:rsidR="007407EA">
        <w:rPr>
          <w:rStyle w:val="FootnoteReference"/>
        </w:rPr>
        <w:footnoteReference w:id="8"/>
      </w:r>
      <w:r w:rsidR="007407EA">
        <w:t>. Under this approach, the tarif</w:t>
      </w:r>
      <w:r>
        <w:t xml:space="preserve">f is calculated for all </w:t>
      </w:r>
      <w:r w:rsidR="007407EA">
        <w:t>regional bilateral trade within ECOWAS based on the following steps.</w:t>
      </w:r>
    </w:p>
    <w:p w14:paraId="56D4B89E" w14:textId="77777777" w:rsidR="007407EA" w:rsidRPr="00C03B67" w:rsidRDefault="007407EA" w:rsidP="00B551B7">
      <w:pPr>
        <w:pStyle w:val="Bullet1Last"/>
        <w:numPr>
          <w:ilvl w:val="0"/>
          <w:numId w:val="9"/>
        </w:numPr>
        <w:spacing w:after="120"/>
        <w:rPr>
          <w:rFonts w:cs="Arial"/>
        </w:rPr>
      </w:pPr>
      <w:r w:rsidRPr="00C03B67">
        <w:rPr>
          <w:rFonts w:cs="Arial"/>
        </w:rPr>
        <w:t>Determine regional transmission assets and asset value</w:t>
      </w:r>
      <w:r w:rsidR="00C03B67">
        <w:rPr>
          <w:rFonts w:cs="Arial"/>
        </w:rPr>
        <w:t>;</w:t>
      </w:r>
    </w:p>
    <w:p w14:paraId="39BB648F" w14:textId="0E875417" w:rsidR="007407EA" w:rsidRPr="00C03B67" w:rsidRDefault="007407EA" w:rsidP="00B551B7">
      <w:pPr>
        <w:pStyle w:val="Bullet1Last"/>
        <w:numPr>
          <w:ilvl w:val="0"/>
          <w:numId w:val="9"/>
        </w:numPr>
        <w:spacing w:after="120"/>
        <w:rPr>
          <w:rFonts w:cs="Arial"/>
        </w:rPr>
      </w:pPr>
      <w:r w:rsidRPr="00C03B67">
        <w:rPr>
          <w:rFonts w:cs="Arial"/>
        </w:rPr>
        <w:t xml:space="preserve">Calculate annual revenue requirements for each </w:t>
      </w:r>
      <w:r w:rsidR="000A335B">
        <w:rPr>
          <w:rFonts w:cs="Arial"/>
        </w:rPr>
        <w:t>TSO</w:t>
      </w:r>
      <w:r w:rsidRPr="00C03B67">
        <w:rPr>
          <w:rFonts w:cs="Arial"/>
        </w:rPr>
        <w:t xml:space="preserve"> asset used for regional bilateral trading</w:t>
      </w:r>
      <w:r w:rsidR="00C03B67">
        <w:rPr>
          <w:rFonts w:cs="Arial"/>
        </w:rPr>
        <w:t>;</w:t>
      </w:r>
    </w:p>
    <w:p w14:paraId="650D8FA6" w14:textId="77777777" w:rsidR="007407EA" w:rsidRPr="00C03B67" w:rsidRDefault="007407EA" w:rsidP="00B551B7">
      <w:pPr>
        <w:pStyle w:val="Bullet1Last"/>
        <w:numPr>
          <w:ilvl w:val="0"/>
          <w:numId w:val="9"/>
        </w:numPr>
        <w:spacing w:after="120"/>
        <w:rPr>
          <w:rFonts w:cs="Arial"/>
        </w:rPr>
      </w:pPr>
      <w:r w:rsidRPr="00C03B67">
        <w:rPr>
          <w:rFonts w:cs="Arial"/>
        </w:rPr>
        <w:t>Calculate use of transmission system and associated transmission losses for each regional bilateral trade</w:t>
      </w:r>
      <w:r w:rsidR="00C03B67">
        <w:rPr>
          <w:rFonts w:cs="Arial"/>
        </w:rPr>
        <w:t>;</w:t>
      </w:r>
    </w:p>
    <w:p w14:paraId="544CBB01" w14:textId="77777777" w:rsidR="007407EA" w:rsidRPr="00C03B67" w:rsidRDefault="007407EA" w:rsidP="00B551B7">
      <w:pPr>
        <w:pStyle w:val="Bullet1Last"/>
        <w:numPr>
          <w:ilvl w:val="0"/>
          <w:numId w:val="9"/>
        </w:numPr>
        <w:spacing w:after="120"/>
        <w:rPr>
          <w:rFonts w:cs="Arial"/>
        </w:rPr>
      </w:pPr>
      <w:r w:rsidRPr="00C03B67">
        <w:rPr>
          <w:rFonts w:cs="Arial"/>
        </w:rPr>
        <w:t>Calculate transmission revenue requirements for each TSO for regional bilateral trades</w:t>
      </w:r>
      <w:r w:rsidR="00C03B67">
        <w:rPr>
          <w:rFonts w:cs="Arial"/>
        </w:rPr>
        <w:t>; and</w:t>
      </w:r>
    </w:p>
    <w:p w14:paraId="1EAEFE31" w14:textId="77777777" w:rsidR="007407EA" w:rsidRPr="00C03B67" w:rsidRDefault="007407EA" w:rsidP="00B551B7">
      <w:pPr>
        <w:pStyle w:val="Bullet1Last"/>
        <w:numPr>
          <w:ilvl w:val="0"/>
          <w:numId w:val="9"/>
        </w:numPr>
        <w:spacing w:after="120"/>
        <w:rPr>
          <w:rFonts w:cs="Arial"/>
        </w:rPr>
      </w:pPr>
      <w:r w:rsidRPr="00C03B67">
        <w:rPr>
          <w:rFonts w:cs="Arial"/>
        </w:rPr>
        <w:t>Calculate transmission tariff and transmission losses for the purchaser of each regional bilateral trade</w:t>
      </w:r>
      <w:r w:rsidR="00C03B67">
        <w:rPr>
          <w:rFonts w:cs="Arial"/>
        </w:rPr>
        <w:t>.</w:t>
      </w:r>
    </w:p>
    <w:p w14:paraId="3A5A55B3" w14:textId="0394DADF" w:rsidR="007407EA" w:rsidRDefault="00305C0B" w:rsidP="007407EA">
      <w:r>
        <w:t>R</w:t>
      </w:r>
      <w:r w:rsidR="007407EA">
        <w:t>egional transmission revenue and losses are estimated annually to update the transmission tariffs.</w:t>
      </w:r>
    </w:p>
    <w:p w14:paraId="36967AD6" w14:textId="1246B00A" w:rsidR="007407EA" w:rsidRDefault="007407EA" w:rsidP="00142EB5">
      <w:pPr>
        <w:pStyle w:val="Heading2"/>
      </w:pPr>
      <w:bookmarkStart w:id="42" w:name="_Toc506918927"/>
      <w:bookmarkStart w:id="43" w:name="_Toc524014089"/>
      <w:r w:rsidRPr="004551DE">
        <w:t>European Network of Transmission System Operators for Electricity</w:t>
      </w:r>
      <w:r>
        <w:t xml:space="preserve"> (ENTSO-E)</w:t>
      </w:r>
      <w:bookmarkEnd w:id="42"/>
      <w:bookmarkEnd w:id="43"/>
    </w:p>
    <w:p w14:paraId="45F3302B" w14:textId="77777777" w:rsidR="007407EA" w:rsidRDefault="007407EA" w:rsidP="007407EA">
      <w:r>
        <w:t>The ENTSO-E employs a Unit Transmission Tariff (UTT) approach, which is designed to recover the following costs:</w:t>
      </w:r>
    </w:p>
    <w:p w14:paraId="1D8BC5F4" w14:textId="3C6357B9" w:rsidR="007407EA" w:rsidRPr="002528D7" w:rsidRDefault="007407EA" w:rsidP="002528D7">
      <w:pPr>
        <w:pStyle w:val="Bullet1Last"/>
        <w:spacing w:after="120"/>
        <w:ind w:left="720"/>
        <w:rPr>
          <w:rFonts w:cs="Arial"/>
        </w:rPr>
      </w:pPr>
      <w:r w:rsidRPr="002528D7">
        <w:rPr>
          <w:rFonts w:cs="Arial"/>
        </w:rPr>
        <w:t xml:space="preserve">TSO costs: infrastructure costs such as </w:t>
      </w:r>
      <w:r w:rsidR="00A77919">
        <w:rPr>
          <w:rFonts w:cs="Arial"/>
        </w:rPr>
        <w:t>operational expenses</w:t>
      </w:r>
      <w:r w:rsidRPr="002528D7">
        <w:rPr>
          <w:rFonts w:cs="Arial"/>
        </w:rPr>
        <w:t>, depreciation</w:t>
      </w:r>
      <w:r w:rsidR="00A77919">
        <w:rPr>
          <w:rFonts w:cs="Arial"/>
        </w:rPr>
        <w:t>,</w:t>
      </w:r>
      <w:r w:rsidRPr="002528D7">
        <w:rPr>
          <w:rFonts w:cs="Arial"/>
        </w:rPr>
        <w:t xml:space="preserve"> return on capital, costs of purchasing system servi</w:t>
      </w:r>
      <w:r w:rsidR="001B611D">
        <w:rPr>
          <w:rFonts w:cs="Arial"/>
        </w:rPr>
        <w:t>ces and loss compensation costs; and</w:t>
      </w:r>
    </w:p>
    <w:p w14:paraId="1635DD70" w14:textId="46FEF440" w:rsidR="007407EA" w:rsidRPr="002528D7" w:rsidRDefault="007407EA" w:rsidP="002528D7">
      <w:pPr>
        <w:pStyle w:val="Bullet1Last"/>
        <w:spacing w:after="120"/>
        <w:ind w:left="720"/>
        <w:rPr>
          <w:rFonts w:cs="Arial"/>
        </w:rPr>
      </w:pPr>
      <w:r w:rsidRPr="002528D7">
        <w:rPr>
          <w:rFonts w:cs="Arial"/>
        </w:rPr>
        <w:t>Non-TSO Costs: costs not related to TSO’s activities such as s</w:t>
      </w:r>
      <w:r w:rsidR="00742D58">
        <w:rPr>
          <w:rFonts w:cs="Arial"/>
        </w:rPr>
        <w:t>tranded costs, costs of renewable e</w:t>
      </w:r>
      <w:r w:rsidRPr="002528D7">
        <w:rPr>
          <w:rFonts w:cs="Arial"/>
        </w:rPr>
        <w:t>nergy or co-generation support schemes, regulatory levies etc.</w:t>
      </w:r>
    </w:p>
    <w:p w14:paraId="2B7CC337" w14:textId="054FB2C7" w:rsidR="007407EA" w:rsidRDefault="007407EA" w:rsidP="007407EA">
      <w:r>
        <w:t>Different European countries have applied different transmission tariff structures. The differences b</w:t>
      </w:r>
      <w:r w:rsidR="00C6623D">
        <w:t>etween the approaches include</w:t>
      </w:r>
      <w:r w:rsidRPr="001B611D">
        <w:rPr>
          <w:vertAlign w:val="superscript"/>
        </w:rPr>
        <w:fldChar w:fldCharType="begin"/>
      </w:r>
      <w:r w:rsidRPr="001B611D">
        <w:rPr>
          <w:vertAlign w:val="superscript"/>
        </w:rPr>
        <w:instrText xml:space="preserve"> NOTEREF _Ref506894826 </w:instrText>
      </w:r>
      <w:r w:rsidR="001B611D">
        <w:rPr>
          <w:vertAlign w:val="superscript"/>
        </w:rPr>
        <w:instrText xml:space="preserve"> \* MERGEFORMAT </w:instrText>
      </w:r>
      <w:r w:rsidRPr="001B611D">
        <w:rPr>
          <w:vertAlign w:val="superscript"/>
        </w:rPr>
        <w:fldChar w:fldCharType="separate"/>
      </w:r>
      <w:r w:rsidR="00A77919">
        <w:rPr>
          <w:vertAlign w:val="superscript"/>
        </w:rPr>
        <w:t>6</w:t>
      </w:r>
      <w:r w:rsidRPr="001B611D">
        <w:rPr>
          <w:vertAlign w:val="superscript"/>
        </w:rPr>
        <w:fldChar w:fldCharType="end"/>
      </w:r>
      <w:r>
        <w:t>:</w:t>
      </w:r>
    </w:p>
    <w:p w14:paraId="6C59F14A" w14:textId="77777777" w:rsidR="007407EA" w:rsidRPr="002528D7" w:rsidRDefault="001B611D" w:rsidP="002528D7">
      <w:pPr>
        <w:pStyle w:val="Bullet1Last"/>
        <w:spacing w:after="120"/>
        <w:ind w:left="720"/>
        <w:rPr>
          <w:rFonts w:cs="Arial"/>
        </w:rPr>
      </w:pPr>
      <w:r>
        <w:rPr>
          <w:rFonts w:cs="Arial"/>
        </w:rPr>
        <w:lastRenderedPageBreak/>
        <w:t>A</w:t>
      </w:r>
      <w:r w:rsidR="007407EA" w:rsidRPr="002528D7">
        <w:rPr>
          <w:rFonts w:cs="Arial"/>
        </w:rPr>
        <w:t>llocation of char</w:t>
      </w:r>
      <w:r>
        <w:rPr>
          <w:rFonts w:cs="Arial"/>
        </w:rPr>
        <w:t>ges between generation and load;</w:t>
      </w:r>
    </w:p>
    <w:p w14:paraId="518A9BB1" w14:textId="77777777" w:rsidR="007407EA" w:rsidRPr="002528D7" w:rsidRDefault="001B611D" w:rsidP="002528D7">
      <w:pPr>
        <w:pStyle w:val="Bullet1Last"/>
        <w:spacing w:after="120"/>
        <w:ind w:left="720"/>
        <w:rPr>
          <w:rFonts w:cs="Arial"/>
        </w:rPr>
      </w:pPr>
      <w:r>
        <w:rPr>
          <w:rFonts w:cs="Arial"/>
        </w:rPr>
        <w:t>T</w:t>
      </w:r>
      <w:r w:rsidR="007407EA" w:rsidRPr="002528D7">
        <w:rPr>
          <w:rFonts w:cs="Arial"/>
        </w:rPr>
        <w:t>ariff levied on a capacity (MW) or energy (MWh) basis</w:t>
      </w:r>
      <w:r>
        <w:rPr>
          <w:rFonts w:cs="Arial"/>
        </w:rPr>
        <w:t>;</w:t>
      </w:r>
    </w:p>
    <w:p w14:paraId="4D83C039" w14:textId="77777777" w:rsidR="007407EA" w:rsidRPr="002528D7" w:rsidRDefault="001B611D" w:rsidP="002528D7">
      <w:pPr>
        <w:pStyle w:val="Bullet1Last"/>
        <w:spacing w:after="120"/>
        <w:ind w:left="720"/>
        <w:rPr>
          <w:rFonts w:cs="Arial"/>
        </w:rPr>
      </w:pPr>
      <w:r>
        <w:rPr>
          <w:rFonts w:cs="Arial"/>
        </w:rPr>
        <w:t>L</w:t>
      </w:r>
      <w:r w:rsidR="007407EA" w:rsidRPr="002528D7">
        <w:rPr>
          <w:rFonts w:cs="Arial"/>
        </w:rPr>
        <w:t>ocational differentiation of tariffs</w:t>
      </w:r>
      <w:r>
        <w:rPr>
          <w:rFonts w:cs="Arial"/>
        </w:rPr>
        <w:t>;</w:t>
      </w:r>
    </w:p>
    <w:p w14:paraId="52722C43" w14:textId="77777777" w:rsidR="007407EA" w:rsidRPr="002528D7" w:rsidRDefault="001B611D" w:rsidP="002528D7">
      <w:pPr>
        <w:pStyle w:val="Bullet1Last"/>
        <w:spacing w:after="120"/>
        <w:ind w:left="720"/>
        <w:rPr>
          <w:rFonts w:cs="Arial"/>
        </w:rPr>
      </w:pPr>
      <w:r>
        <w:rPr>
          <w:rFonts w:cs="Arial"/>
        </w:rPr>
        <w:t>T</w:t>
      </w:r>
      <w:r w:rsidR="007407EA" w:rsidRPr="002528D7">
        <w:rPr>
          <w:rFonts w:cs="Arial"/>
        </w:rPr>
        <w:t>ime differentiation of tariffs</w:t>
      </w:r>
      <w:r>
        <w:rPr>
          <w:rFonts w:cs="Arial"/>
        </w:rPr>
        <w:t>;</w:t>
      </w:r>
    </w:p>
    <w:p w14:paraId="0118F337" w14:textId="77777777" w:rsidR="007407EA" w:rsidRPr="002528D7" w:rsidRDefault="001B611D" w:rsidP="002528D7">
      <w:pPr>
        <w:pStyle w:val="Bullet1Last"/>
        <w:spacing w:after="120"/>
        <w:ind w:left="720"/>
        <w:rPr>
          <w:rFonts w:cs="Arial"/>
        </w:rPr>
      </w:pPr>
      <w:r>
        <w:rPr>
          <w:rFonts w:cs="Arial"/>
        </w:rPr>
        <w:t>S</w:t>
      </w:r>
      <w:r w:rsidR="007407EA" w:rsidRPr="002528D7">
        <w:rPr>
          <w:rFonts w:cs="Arial"/>
        </w:rPr>
        <w:t>cope of services and costs recovered through the transmission tariff</w:t>
      </w:r>
      <w:r>
        <w:rPr>
          <w:rFonts w:cs="Arial"/>
        </w:rPr>
        <w:t>; and</w:t>
      </w:r>
    </w:p>
    <w:p w14:paraId="35373589" w14:textId="77777777" w:rsidR="007407EA" w:rsidRPr="002528D7" w:rsidRDefault="001B611D" w:rsidP="002528D7">
      <w:pPr>
        <w:pStyle w:val="Bullet1Last"/>
        <w:spacing w:after="120"/>
        <w:ind w:left="720"/>
        <w:rPr>
          <w:rFonts w:cs="Arial"/>
        </w:rPr>
      </w:pPr>
      <w:r>
        <w:rPr>
          <w:rFonts w:cs="Arial"/>
        </w:rPr>
        <w:t>C</w:t>
      </w:r>
      <w:r w:rsidR="007407EA" w:rsidRPr="002528D7">
        <w:rPr>
          <w:rFonts w:cs="Arial"/>
        </w:rPr>
        <w:t>ost concepts used to determine tariffs</w:t>
      </w:r>
      <w:r>
        <w:rPr>
          <w:rFonts w:cs="Arial"/>
        </w:rPr>
        <w:t>.</w:t>
      </w:r>
    </w:p>
    <w:p w14:paraId="220D9739" w14:textId="3DBC87F7" w:rsidR="007407EA" w:rsidRDefault="00A77919" w:rsidP="007407EA">
      <w:r>
        <w:t>D</w:t>
      </w:r>
      <w:r w:rsidR="007407EA">
        <w:t>ifferent users bear the costs of providing transmission services</w:t>
      </w:r>
      <w:r w:rsidR="002C54E3">
        <w:t xml:space="preserve"> in different </w:t>
      </w:r>
      <w:r>
        <w:t xml:space="preserve">European </w:t>
      </w:r>
      <w:r w:rsidR="002C54E3">
        <w:t>countries</w:t>
      </w:r>
      <w:r w:rsidR="007407EA">
        <w:t>. While in some countries</w:t>
      </w:r>
      <w:r>
        <w:t>,</w:t>
      </w:r>
      <w:r w:rsidR="007407EA">
        <w:t xml:space="preserve"> transmission tariffs are paid only by the load (e.g. Germ</w:t>
      </w:r>
      <w:r w:rsidR="002C54E3">
        <w:t>any and Netherlands), in others</w:t>
      </w:r>
      <w:r w:rsidR="007407EA">
        <w:t xml:space="preserve"> </w:t>
      </w:r>
      <w:r w:rsidR="002C54E3">
        <w:t>they</w:t>
      </w:r>
      <w:r w:rsidR="007407EA">
        <w:t xml:space="preserve"> are paid by the load and the generator (e.g. Gr</w:t>
      </w:r>
      <w:r w:rsidR="002C54E3">
        <w:t>eat Britain and Sweden). Additionally</w:t>
      </w:r>
      <w:r w:rsidR="007407EA">
        <w:t xml:space="preserve">, transmission tariffs are applied </w:t>
      </w:r>
      <w:r>
        <w:t xml:space="preserve">by different countries </w:t>
      </w:r>
      <w:r w:rsidR="007407EA">
        <w:t>on an energy only basis</w:t>
      </w:r>
      <w:r w:rsidR="002C54E3">
        <w:t>,</w:t>
      </w:r>
      <w:r w:rsidR="007407EA">
        <w:t xml:space="preserve"> on a capacity only basis, </w:t>
      </w:r>
      <w:r w:rsidR="002C54E3">
        <w:t>or</w:t>
      </w:r>
      <w:r w:rsidR="007407EA">
        <w:t xml:space="preserve"> for both energy and capacity. Locational transmission pricing is applied in some countries (Great Britain, Ireland, Norway, Sweden and Romania), while others do not apply locational prices. </w:t>
      </w:r>
      <w:r w:rsidR="00422D6A">
        <w:t xml:space="preserve">European countries also </w:t>
      </w:r>
      <w:r>
        <w:t xml:space="preserve">do not have a consistent approach to </w:t>
      </w:r>
      <w:r w:rsidR="00422D6A">
        <w:t>apply</w:t>
      </w:r>
      <w:r>
        <w:t>ing</w:t>
      </w:r>
      <w:r w:rsidR="00422D6A">
        <w:t xml:space="preserve"> c</w:t>
      </w:r>
      <w:r w:rsidR="007407EA">
        <w:t xml:space="preserve">onnection charges; while some apply deep charges, others apply shallow charges. The framework for recovering costs related to transmission losses and ancillary services also varies with some </w:t>
      </w:r>
      <w:r w:rsidR="002C54E3">
        <w:t xml:space="preserve">countries </w:t>
      </w:r>
      <w:r w:rsidR="007407EA">
        <w:t xml:space="preserve">including it in the transmission charge and others recovering it through the energy market. </w:t>
      </w:r>
      <w:r w:rsidR="002C54E3">
        <w:t>Further</w:t>
      </w:r>
      <w:r w:rsidR="007407EA">
        <w:t>, some countries estimate transmission charges based on average costs while others apply marginal costs.</w:t>
      </w:r>
    </w:p>
    <w:p w14:paraId="7E6F2B80" w14:textId="77777777" w:rsidR="007407EA" w:rsidRDefault="007407EA" w:rsidP="00142EB5">
      <w:pPr>
        <w:pStyle w:val="Heading2"/>
      </w:pPr>
      <w:bookmarkStart w:id="44" w:name="_Toc506918928"/>
      <w:bookmarkStart w:id="45" w:name="_Toc524014090"/>
      <w:r>
        <w:t>National Grid of Great Britain</w:t>
      </w:r>
      <w:bookmarkEnd w:id="44"/>
      <w:bookmarkEnd w:id="45"/>
    </w:p>
    <w:p w14:paraId="09E4C221" w14:textId="3127CBD1" w:rsidR="007407EA" w:rsidRDefault="00742D58" w:rsidP="007407EA">
      <w:r>
        <w:t xml:space="preserve">The </w:t>
      </w:r>
      <w:r w:rsidR="00422D6A">
        <w:t xml:space="preserve">National Grid Electricity Transmission </w:t>
      </w:r>
      <w:r>
        <w:t>PLC</w:t>
      </w:r>
      <w:r w:rsidR="00422D6A">
        <w:t xml:space="preserve"> </w:t>
      </w:r>
      <w:r w:rsidR="002C54E3">
        <w:t xml:space="preserve">(NGET) </w:t>
      </w:r>
      <w:r w:rsidR="00422D6A">
        <w:t>recovers t</w:t>
      </w:r>
      <w:r w:rsidR="007407EA">
        <w:t xml:space="preserve">he costs of installing, operating and maintaining </w:t>
      </w:r>
      <w:r w:rsidR="002C54E3">
        <w:t>the National Grid System t</w:t>
      </w:r>
      <w:r w:rsidR="007407EA">
        <w:t>hrough the levying of Transmission Network Use of System (TNUoS) charg</w:t>
      </w:r>
      <w:r w:rsidR="00892B47">
        <w:t>es on users of the system.</w:t>
      </w:r>
      <w:r w:rsidR="003F58E4">
        <w:t xml:space="preserve"> </w:t>
      </w:r>
      <w:r w:rsidR="00892B47">
        <w:t xml:space="preserve"> C</w:t>
      </w:r>
      <w:r w:rsidR="007407EA">
        <w:t>osts are split between generato</w:t>
      </w:r>
      <w:r w:rsidR="002C54E3">
        <w:t>rs and load in the ratio of 23%/</w:t>
      </w:r>
      <w:r w:rsidR="007407EA">
        <w:t>77% and are designed to enable bulk power trade while providing system security and reliability.</w:t>
      </w:r>
      <w:r w:rsidR="007407EA">
        <w:rPr>
          <w:rStyle w:val="FootnoteReference"/>
        </w:rPr>
        <w:footnoteReference w:id="9"/>
      </w:r>
      <w:r w:rsidR="007407EA">
        <w:t xml:space="preserve"> </w:t>
      </w:r>
      <w:r w:rsidR="003F58E4">
        <w:t xml:space="preserve"> </w:t>
      </w:r>
      <w:r w:rsidR="007407EA">
        <w:t>The TNUoS provides efficient economic signals to market participants and capture locational and marginal costs of transmission services.</w:t>
      </w:r>
    </w:p>
    <w:p w14:paraId="27F82828" w14:textId="2285804C" w:rsidR="007407EA" w:rsidRDefault="007407EA" w:rsidP="00142EB5">
      <w:pPr>
        <w:pStyle w:val="Heading2"/>
      </w:pPr>
      <w:bookmarkStart w:id="46" w:name="_Toc524014091"/>
      <w:bookmarkStart w:id="47" w:name="_Toc506918929"/>
      <w:r>
        <w:t>PJM</w:t>
      </w:r>
      <w:bookmarkEnd w:id="46"/>
      <w:r>
        <w:t xml:space="preserve"> </w:t>
      </w:r>
      <w:bookmarkEnd w:id="47"/>
    </w:p>
    <w:p w14:paraId="69D35686" w14:textId="77176FF4" w:rsidR="00BD6DCE" w:rsidRDefault="007407EA" w:rsidP="007407EA">
      <w:r>
        <w:t>The PJM Interconnection is a regional transmission organization (RTO) in the U</w:t>
      </w:r>
      <w:r w:rsidR="00422D6A">
        <w:t>.</w:t>
      </w:r>
      <w:r>
        <w:t>S</w:t>
      </w:r>
      <w:r w:rsidR="00422D6A">
        <w:t>.</w:t>
      </w:r>
      <w:r>
        <w:t xml:space="preserve"> that utilizes locational marginal pricing </w:t>
      </w:r>
      <w:r w:rsidR="00E359F5">
        <w:t xml:space="preserve">(LMP) </w:t>
      </w:r>
      <w:r w:rsidR="008E15E6" w:rsidRPr="008E15E6">
        <w:t>to price energy purchases and sales in the PJM wholesale electricity market</w:t>
      </w:r>
      <w:r w:rsidR="002C54E3">
        <w:t xml:space="preserve">. </w:t>
      </w:r>
      <w:r w:rsidR="00E359F5">
        <w:t xml:space="preserve">The </w:t>
      </w:r>
      <w:r w:rsidR="00E359F5" w:rsidRPr="00E359F5">
        <w:t>LMP account</w:t>
      </w:r>
      <w:r w:rsidR="00E359F5">
        <w:t>s for</w:t>
      </w:r>
      <w:r w:rsidR="00E359F5" w:rsidRPr="00E359F5">
        <w:t xml:space="preserve"> the effect of actual operating conditions on the transmission system in determining the price of electricity at different locations in the PJM region</w:t>
      </w:r>
      <w:r w:rsidR="00E359F5">
        <w:t xml:space="preserve">. The LMP is higher in areas with congestion compared to areas with little or no congestion. The LMP is </w:t>
      </w:r>
      <w:r w:rsidR="00E359F5" w:rsidRPr="00E359F5">
        <w:t xml:space="preserve">calculated by PJM and posted on </w:t>
      </w:r>
      <w:r w:rsidR="00E359F5">
        <w:t>its website (</w:t>
      </w:r>
      <w:r w:rsidR="00E359F5" w:rsidRPr="00E359F5">
        <w:t>www.pjm.com</w:t>
      </w:r>
      <w:r w:rsidR="00E359F5">
        <w:t xml:space="preserve">) every five minutes, enabling </w:t>
      </w:r>
      <w:r w:rsidR="00E359F5" w:rsidRPr="00E359F5">
        <w:t>market participants to factor the information into their decision-making</w:t>
      </w:r>
      <w:r w:rsidR="00E359F5">
        <w:rPr>
          <w:rStyle w:val="FootnoteReference"/>
        </w:rPr>
        <w:footnoteReference w:id="10"/>
      </w:r>
      <w:r w:rsidR="00E359F5" w:rsidRPr="00E359F5">
        <w:t>.</w:t>
      </w:r>
    </w:p>
    <w:p w14:paraId="6BAB3535" w14:textId="031B65F3" w:rsidR="007407EA" w:rsidRDefault="007407EA" w:rsidP="00142EB5">
      <w:pPr>
        <w:pStyle w:val="Heading2"/>
      </w:pPr>
      <w:bookmarkStart w:id="48" w:name="_Toc506918930"/>
      <w:bookmarkStart w:id="49" w:name="_Toc524014092"/>
      <w:r>
        <w:lastRenderedPageBreak/>
        <w:t>Nord Pool</w:t>
      </w:r>
      <w:bookmarkEnd w:id="48"/>
      <w:bookmarkEnd w:id="49"/>
    </w:p>
    <w:p w14:paraId="36CC812A" w14:textId="0A45502F" w:rsidR="00595440" w:rsidRDefault="002C54E3" w:rsidP="007407EA">
      <w:r>
        <w:t>In</w:t>
      </w:r>
      <w:r w:rsidR="007407EA">
        <w:t xml:space="preserve"> Nord Pool, the transmission pricing approach for access to the grid is</w:t>
      </w:r>
      <w:r>
        <w:t xml:space="preserve"> a “Point-of-Connection” (POC) t</w:t>
      </w:r>
      <w:r w:rsidR="007407EA">
        <w:t>ariff</w:t>
      </w:r>
      <w:r>
        <w:t>. Under this pricing approach,</w:t>
      </w:r>
      <w:r w:rsidR="007407EA">
        <w:t xml:space="preserve"> payment of</w:t>
      </w:r>
      <w:r>
        <w:t xml:space="preserve"> a</w:t>
      </w:r>
      <w:r w:rsidR="007407EA">
        <w:t xml:space="preserve"> transmission tariff at the point of connection gives a network user access to </w:t>
      </w:r>
      <w:r w:rsidR="00892B47">
        <w:t xml:space="preserve">the </w:t>
      </w:r>
      <w:r w:rsidR="007407EA">
        <w:t xml:space="preserve">entire network. </w:t>
      </w:r>
    </w:p>
    <w:p w14:paraId="7BD56702" w14:textId="0AA7DA26" w:rsidR="00595440" w:rsidRDefault="00C9552F" w:rsidP="00595440">
      <w:pPr>
        <w:pStyle w:val="Heading1"/>
      </w:pPr>
      <w:bookmarkStart w:id="50" w:name="_Toc506918909"/>
      <w:bookmarkStart w:id="51" w:name="_Toc524014093"/>
      <w:r>
        <w:lastRenderedPageBreak/>
        <w:t xml:space="preserve">Review of </w:t>
      </w:r>
      <w:r w:rsidR="00595440">
        <w:t>Cross-Border Transmission Tariff Approaches</w:t>
      </w:r>
      <w:bookmarkEnd w:id="50"/>
      <w:r w:rsidR="00595440">
        <w:t xml:space="preserve"> </w:t>
      </w:r>
      <w:r>
        <w:t xml:space="preserve">used </w:t>
      </w:r>
      <w:r w:rsidR="00595440">
        <w:t>in SAPP</w:t>
      </w:r>
      <w:r w:rsidR="00CB5D0C">
        <w:t xml:space="preserve"> and pilot countries</w:t>
      </w:r>
      <w:bookmarkEnd w:id="51"/>
    </w:p>
    <w:p w14:paraId="0958F20A" w14:textId="1212A9FF" w:rsidR="00595440" w:rsidRDefault="00595440" w:rsidP="00595440">
      <w:r>
        <w:t xml:space="preserve">Publicly-available information on the existing approaches for pricing cross-border transmission services in SAPP indicate </w:t>
      </w:r>
      <w:r w:rsidR="00DB75EB">
        <w:t>past use of the following approaches</w:t>
      </w:r>
      <w:r>
        <w:rPr>
          <w:rStyle w:val="FootnoteReference"/>
        </w:rPr>
        <w:footnoteReference w:id="11"/>
      </w:r>
    </w:p>
    <w:p w14:paraId="344A183D" w14:textId="455310F9" w:rsidR="00595440" w:rsidRDefault="00595440" w:rsidP="00DB75EB">
      <w:pPr>
        <w:pStyle w:val="Heading2"/>
      </w:pPr>
      <w:bookmarkStart w:id="52" w:name="_Toc524014094"/>
      <w:r w:rsidRPr="00D76CFB">
        <w:t>Postage Stamp Methodology</w:t>
      </w:r>
      <w:r w:rsidR="00DB75EB">
        <w:t xml:space="preserve"> (1995-1998)</w:t>
      </w:r>
      <w:bookmarkEnd w:id="52"/>
    </w:p>
    <w:p w14:paraId="1990B541" w14:textId="3CB9C8CB" w:rsidR="00595440" w:rsidRDefault="00595440" w:rsidP="00595440">
      <w:r>
        <w:t xml:space="preserve">The methodology for transmission pricing initially </w:t>
      </w:r>
      <w:r w:rsidR="0085302E">
        <w:t>used by SAPP for short and long-</w:t>
      </w:r>
      <w:r>
        <w:t>term bilateral trades from 1995 to 1998 was a standard postage stamp charge based on the number of transit countries involved in wheeling the power.</w:t>
      </w:r>
    </w:p>
    <w:p w14:paraId="5F8630F7" w14:textId="22B0AE84" w:rsidR="00595440" w:rsidRDefault="00595440" w:rsidP="00595440">
      <w:r>
        <w:t xml:space="preserve">The transmission tariff was based on 7.5% of the value of the energy transferred in case </w:t>
      </w:r>
      <w:r w:rsidR="0085302E">
        <w:t xml:space="preserve">power was wheeled through </w:t>
      </w:r>
      <w:r>
        <w:t xml:space="preserve">one transit country, and 15% of the </w:t>
      </w:r>
      <w:r w:rsidR="0085302E">
        <w:t xml:space="preserve">value of the energy transferred </w:t>
      </w:r>
      <w:r>
        <w:t xml:space="preserve">in case </w:t>
      </w:r>
      <w:r w:rsidR="0085302E">
        <w:t>power was wheeled through more than one country.</w:t>
      </w:r>
      <w:r>
        <w:t xml:space="preserve"> This methodology did not account</w:t>
      </w:r>
      <w:r w:rsidR="00C4063A">
        <w:t xml:space="preserve"> for transmission line losses</w:t>
      </w:r>
      <w:r w:rsidR="0085302E">
        <w:t xml:space="preserve">. A </w:t>
      </w:r>
      <w:r w:rsidR="00C4063A">
        <w:t>further</w:t>
      </w:r>
      <w:r>
        <w:t xml:space="preserve"> disadvantage was that the counterparty (ies)</w:t>
      </w:r>
      <w:r w:rsidRPr="00833474">
        <w:t xml:space="preserve"> </w:t>
      </w:r>
      <w:r>
        <w:t xml:space="preserve">to </w:t>
      </w:r>
      <w:r w:rsidRPr="00833474">
        <w:t>each trade</w:t>
      </w:r>
      <w:r>
        <w:t xml:space="preserve"> had to be known</w:t>
      </w:r>
      <w:r w:rsidR="0085302E">
        <w:t>, which becomes difficult in an interconnected and integrated electricity market</w:t>
      </w:r>
      <w:r w:rsidRPr="00833474">
        <w:t xml:space="preserve">. </w:t>
      </w:r>
      <w:r w:rsidR="00C4063A">
        <w:t>W</w:t>
      </w:r>
      <w:r>
        <w:t xml:space="preserve">ith SAPP moving to </w:t>
      </w:r>
      <w:r w:rsidRPr="00833474">
        <w:t>day-ahead market</w:t>
      </w:r>
      <w:r>
        <w:t xml:space="preserve"> operations</w:t>
      </w:r>
      <w:r w:rsidRPr="00833474">
        <w:t xml:space="preserve">, </w:t>
      </w:r>
      <w:r>
        <w:t xml:space="preserve">a pricing approach based on bilateral contracts and identification of </w:t>
      </w:r>
      <w:r w:rsidRPr="00833474">
        <w:t xml:space="preserve">counterparties to </w:t>
      </w:r>
      <w:r>
        <w:t xml:space="preserve">each trade </w:t>
      </w:r>
      <w:r w:rsidR="0085302E">
        <w:t xml:space="preserve">was not </w:t>
      </w:r>
      <w:r>
        <w:t>practical.</w:t>
      </w:r>
    </w:p>
    <w:p w14:paraId="3A114FF8" w14:textId="4C2CB6A5" w:rsidR="00595440" w:rsidRDefault="00595440" w:rsidP="00DB75EB">
      <w:pPr>
        <w:pStyle w:val="Heading2"/>
      </w:pPr>
      <w:bookmarkStart w:id="53" w:name="_Toc524014095"/>
      <w:r w:rsidRPr="009D332C">
        <w:t>MW-km Load-flow Methodology</w:t>
      </w:r>
      <w:r w:rsidR="00DB75EB">
        <w:t xml:space="preserve"> (1999-2015)</w:t>
      </w:r>
      <w:bookmarkEnd w:id="53"/>
    </w:p>
    <w:p w14:paraId="4535A793" w14:textId="05B46035" w:rsidR="00595440" w:rsidRDefault="00595440" w:rsidP="00595440">
      <w:r>
        <w:t>The MW-km load flow methodology was used for estimating wheeling charges for all bilateral trades in SAPP from 1999 to 2015. This met</w:t>
      </w:r>
      <w:r w:rsidR="00C4063A">
        <w:t>hodology was</w:t>
      </w:r>
      <w:r>
        <w:t xml:space="preserve"> based on the proportion of transmission assets in a country actually used for wheeling powe</w:t>
      </w:r>
      <w:r w:rsidR="00475031">
        <w:t>r. The wheeling charge applied wa</w:t>
      </w:r>
      <w:r>
        <w:t>s thus based on the power flow including losses explicitly analyzed for eac</w:t>
      </w:r>
      <w:r w:rsidR="00475031">
        <w:t>h transaction and the buyer paid</w:t>
      </w:r>
      <w:r>
        <w:t xml:space="preserve"> </w:t>
      </w:r>
      <w:r w:rsidR="00B2656E">
        <w:t xml:space="preserve">for 100% of the wheeling charge. The charges are however </w:t>
      </w:r>
      <w:r w:rsidR="00A279A3" w:rsidRPr="00A279A3">
        <w:t xml:space="preserve">based on historical asset values. </w:t>
      </w:r>
      <w:r>
        <w:t>This approach was suitable for bilateral trades and for market clearing price</w:t>
      </w:r>
      <w:r w:rsidR="00475031">
        <w:t>s</w:t>
      </w:r>
      <w:r>
        <w:t xml:space="preserve"> for </w:t>
      </w:r>
      <w:r w:rsidR="00B2656E">
        <w:t xml:space="preserve">bilateral </w:t>
      </w:r>
      <w:r>
        <w:t xml:space="preserve">day-ahead market trades. </w:t>
      </w:r>
      <w:r>
        <w:fldChar w:fldCharType="begin"/>
      </w:r>
      <w:r>
        <w:instrText xml:space="preserve"> REF _Ref506468478 \h </w:instrText>
      </w:r>
      <w:r>
        <w:fldChar w:fldCharType="separate"/>
      </w:r>
      <w:r w:rsidR="00DF7F9C">
        <w:t xml:space="preserve">Figure </w:t>
      </w:r>
      <w:r w:rsidR="00DF7F9C">
        <w:rPr>
          <w:noProof/>
        </w:rPr>
        <w:t>2</w:t>
      </w:r>
      <w:r>
        <w:fldChar w:fldCharType="end"/>
      </w:r>
      <w:r>
        <w:t xml:space="preserve"> illustrates the basic steps in estimating transmission charges using the MW-km load flow methodology.</w:t>
      </w:r>
    </w:p>
    <w:p w14:paraId="366A7B02" w14:textId="44D7F8C6" w:rsidR="00595440" w:rsidRDefault="00595440" w:rsidP="00595440">
      <w:pPr>
        <w:pStyle w:val="Caption"/>
      </w:pPr>
      <w:bookmarkStart w:id="54" w:name="_Ref506468478"/>
      <w:bookmarkStart w:id="55" w:name="_Toc507160823"/>
      <w:r>
        <w:t xml:space="preserve">Figure </w:t>
      </w:r>
      <w:r w:rsidR="00C6623D">
        <w:rPr>
          <w:noProof/>
        </w:rPr>
        <w:fldChar w:fldCharType="begin"/>
      </w:r>
      <w:r w:rsidR="00C6623D">
        <w:rPr>
          <w:noProof/>
        </w:rPr>
        <w:instrText xml:space="preserve"> SEQ Figure \* ARABIC </w:instrText>
      </w:r>
      <w:r w:rsidR="00C6623D">
        <w:rPr>
          <w:noProof/>
        </w:rPr>
        <w:fldChar w:fldCharType="separate"/>
      </w:r>
      <w:r w:rsidR="00DF7F9C">
        <w:rPr>
          <w:noProof/>
        </w:rPr>
        <w:t>2</w:t>
      </w:r>
      <w:r w:rsidR="00C6623D">
        <w:rPr>
          <w:noProof/>
        </w:rPr>
        <w:fldChar w:fldCharType="end"/>
      </w:r>
      <w:bookmarkEnd w:id="54"/>
      <w:r>
        <w:t>: Steps in Estimating Transmission Charges Using the</w:t>
      </w:r>
      <w:r w:rsidRPr="00EE2E4D">
        <w:t xml:space="preserve"> </w:t>
      </w:r>
      <w:r>
        <w:t xml:space="preserve">MW-km Load Flow Methodology </w:t>
      </w:r>
      <w:r>
        <w:rPr>
          <w:noProof/>
        </w:rPr>
        <w:drawing>
          <wp:inline distT="0" distB="0" distL="0" distR="0" wp14:anchorId="2753E0B2" wp14:editId="57DFCE9A">
            <wp:extent cx="5486400" cy="1391055"/>
            <wp:effectExtent l="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bookmarkEnd w:id="55"/>
    </w:p>
    <w:p w14:paraId="2DFDD5F1" w14:textId="3BBFE1E2" w:rsidR="00595440" w:rsidRDefault="00595440" w:rsidP="00595440">
      <w:pPr>
        <w:rPr>
          <w:i/>
          <w:iCs/>
          <w:sz w:val="18"/>
          <w:szCs w:val="18"/>
        </w:rPr>
      </w:pPr>
      <w:r w:rsidRPr="004E3ADB">
        <w:rPr>
          <w:i/>
          <w:iCs/>
          <w:sz w:val="18"/>
          <w:szCs w:val="18"/>
        </w:rPr>
        <w:t>Source: Adapted from AEMI – HAPUA Forum, Ricardo Presentation, Jonathan Hedgecock, Practice Director, PPA Energy May 24 – 26, 2016</w:t>
      </w:r>
    </w:p>
    <w:p w14:paraId="506841E1" w14:textId="03B7C1A5" w:rsidR="00C4063A" w:rsidRDefault="00FD45F5" w:rsidP="00FD45F5">
      <w:r>
        <w:t>While this</w:t>
      </w:r>
      <w:r w:rsidRPr="00FD45F5">
        <w:t xml:space="preserve"> approach worked well under </w:t>
      </w:r>
      <w:r>
        <w:t xml:space="preserve">SAPP’s cooperative pool model, </w:t>
      </w:r>
      <w:r w:rsidRPr="00FD45F5">
        <w:t>the high wheeling charges for transit through longer distances dissuaded power trade</w:t>
      </w:r>
      <w:r>
        <w:t>, and the</w:t>
      </w:r>
      <w:r w:rsidRPr="00FD45F5">
        <w:t xml:space="preserve"> approach did not address congestion management.</w:t>
      </w:r>
      <w:r>
        <w:t xml:space="preserve"> </w:t>
      </w:r>
      <w:r w:rsidR="00B2656E">
        <w:t xml:space="preserve">Further, the </w:t>
      </w:r>
      <w:r w:rsidR="00B2656E" w:rsidRPr="00B2656E">
        <w:t xml:space="preserve">methodology </w:t>
      </w:r>
      <w:r w:rsidR="00B2656E">
        <w:t xml:space="preserve">is not adequate when the counterparties to a trade are not explicitly known. </w:t>
      </w:r>
    </w:p>
    <w:p w14:paraId="62F52C64" w14:textId="48BC8943" w:rsidR="00C4063A" w:rsidRPr="00FD45F5" w:rsidRDefault="002A11CC" w:rsidP="00FD45F5">
      <w:r>
        <w:lastRenderedPageBreak/>
        <w:t xml:space="preserve">As SAPP moved towards a competitive electricity market in 2006, it revised the wheeling charge and capped </w:t>
      </w:r>
      <w:r w:rsidR="0085302E">
        <w:t xml:space="preserve">it </w:t>
      </w:r>
      <w:r>
        <w:t>at 15% of the transaction cost based on SAPP spot market prices. In the case where a single network wheeled the power, SAPP capped the wheeling charge at 7.5% of the spot market price</w:t>
      </w:r>
      <w:r w:rsidR="0085302E">
        <w:t xml:space="preserve"> (similar to the earlier Postage Stamp methodology)</w:t>
      </w:r>
      <w:r>
        <w:t xml:space="preserve">. This percentage-based </w:t>
      </w:r>
      <w:r w:rsidR="0085302E">
        <w:t xml:space="preserve">cap on transmission pricing </w:t>
      </w:r>
      <w:r>
        <w:t>was also considered inadequate for increased regional power trade.</w:t>
      </w:r>
    </w:p>
    <w:p w14:paraId="4F5F4B57" w14:textId="6EDBFA4C" w:rsidR="00C4063A" w:rsidRDefault="00C4063A" w:rsidP="00DB75EB">
      <w:pPr>
        <w:pStyle w:val="Heading2"/>
      </w:pPr>
      <w:bookmarkStart w:id="56" w:name="_Toc524014096"/>
      <w:r>
        <w:t xml:space="preserve">Development </w:t>
      </w:r>
      <w:r w:rsidR="00011089">
        <w:t>of a New Transmission Tariff Methodology</w:t>
      </w:r>
      <w:r w:rsidR="00DB75EB">
        <w:t xml:space="preserve"> (2016-Present)</w:t>
      </w:r>
      <w:bookmarkEnd w:id="56"/>
    </w:p>
    <w:p w14:paraId="6338D532" w14:textId="622477D7" w:rsidR="00C4063A" w:rsidRDefault="00C4063A" w:rsidP="00C4063A">
      <w:r>
        <w:t xml:space="preserve">As the market matures, SAPP has begun to consider alternative methods based on international leading practices. The guiding principles for the new tariff guidelines are: </w:t>
      </w:r>
    </w:p>
    <w:p w14:paraId="1657C5F8" w14:textId="5D9DDA92" w:rsidR="00C4063A" w:rsidRPr="000A4DD2" w:rsidRDefault="00475031" w:rsidP="00C4063A">
      <w:pPr>
        <w:pStyle w:val="Bullet1Last"/>
        <w:spacing w:after="120"/>
        <w:ind w:left="720"/>
        <w:rPr>
          <w:rFonts w:cs="Arial"/>
        </w:rPr>
      </w:pPr>
      <w:r>
        <w:rPr>
          <w:rFonts w:cs="Arial"/>
        </w:rPr>
        <w:t>Promote</w:t>
      </w:r>
      <w:r w:rsidR="00C4063A" w:rsidRPr="000A4DD2">
        <w:rPr>
          <w:rFonts w:cs="Arial"/>
        </w:rPr>
        <w:t xml:space="preserve"> efficient day-to-day operation of the bulk power market; </w:t>
      </w:r>
    </w:p>
    <w:p w14:paraId="405276A9" w14:textId="77777777" w:rsidR="00C4063A" w:rsidRPr="000A4DD2" w:rsidRDefault="00C4063A" w:rsidP="00C4063A">
      <w:pPr>
        <w:pStyle w:val="Bullet1Last"/>
        <w:spacing w:after="120"/>
        <w:ind w:left="720"/>
        <w:rPr>
          <w:rFonts w:cs="Arial"/>
        </w:rPr>
      </w:pPr>
      <w:r w:rsidRPr="000A4DD2">
        <w:rPr>
          <w:rFonts w:cs="Arial"/>
        </w:rPr>
        <w:t xml:space="preserve">Signal locational advantages for investment in generation and demand; </w:t>
      </w:r>
    </w:p>
    <w:p w14:paraId="369F1ABF" w14:textId="77777777" w:rsidR="00C4063A" w:rsidRPr="000A4DD2" w:rsidRDefault="00C4063A" w:rsidP="00C4063A">
      <w:pPr>
        <w:pStyle w:val="Bullet1Last"/>
        <w:spacing w:after="120"/>
        <w:ind w:left="720"/>
        <w:rPr>
          <w:rFonts w:cs="Arial"/>
        </w:rPr>
      </w:pPr>
      <w:r w:rsidRPr="000A4DD2">
        <w:rPr>
          <w:rFonts w:cs="Arial"/>
        </w:rPr>
        <w:t xml:space="preserve">Signal the need for investments in the transmission system; </w:t>
      </w:r>
    </w:p>
    <w:p w14:paraId="10D1D3B4" w14:textId="77777777" w:rsidR="00C4063A" w:rsidRPr="000A4DD2" w:rsidRDefault="00C4063A" w:rsidP="00C4063A">
      <w:pPr>
        <w:pStyle w:val="Bullet1Last"/>
        <w:spacing w:after="120"/>
        <w:ind w:left="720"/>
        <w:rPr>
          <w:rFonts w:cs="Arial"/>
        </w:rPr>
      </w:pPr>
      <w:r w:rsidRPr="000A4DD2">
        <w:rPr>
          <w:rFonts w:cs="Arial"/>
        </w:rPr>
        <w:t xml:space="preserve">Compensate the owners of existing transmission assets; </w:t>
      </w:r>
    </w:p>
    <w:p w14:paraId="5CB34A59" w14:textId="77777777" w:rsidR="00C4063A" w:rsidRPr="000A4DD2" w:rsidRDefault="00C4063A" w:rsidP="00C4063A">
      <w:pPr>
        <w:pStyle w:val="Bullet1Last"/>
        <w:spacing w:after="120"/>
        <w:ind w:left="720"/>
        <w:rPr>
          <w:rFonts w:cs="Arial"/>
        </w:rPr>
      </w:pPr>
      <w:r w:rsidRPr="000A4DD2">
        <w:rPr>
          <w:rFonts w:cs="Arial"/>
        </w:rPr>
        <w:t xml:space="preserve">Be simple, transparent and predictable; </w:t>
      </w:r>
    </w:p>
    <w:p w14:paraId="65382DBE" w14:textId="77777777" w:rsidR="00C4063A" w:rsidRPr="000A4DD2" w:rsidRDefault="00C4063A" w:rsidP="00C4063A">
      <w:pPr>
        <w:pStyle w:val="Bullet1Last"/>
        <w:spacing w:after="120"/>
        <w:ind w:left="720"/>
        <w:rPr>
          <w:rFonts w:cs="Arial"/>
        </w:rPr>
      </w:pPr>
      <w:r w:rsidRPr="000A4DD2">
        <w:rPr>
          <w:rFonts w:cs="Arial"/>
        </w:rPr>
        <w:t xml:space="preserve">Be politically implementable; </w:t>
      </w:r>
    </w:p>
    <w:p w14:paraId="373FC411" w14:textId="77777777" w:rsidR="00C4063A" w:rsidRPr="000A4DD2" w:rsidRDefault="00C4063A" w:rsidP="00C4063A">
      <w:pPr>
        <w:pStyle w:val="Bullet1Last"/>
        <w:spacing w:after="120"/>
        <w:ind w:left="720"/>
        <w:rPr>
          <w:rFonts w:cs="Arial"/>
        </w:rPr>
      </w:pPr>
      <w:r w:rsidRPr="000A4DD2">
        <w:rPr>
          <w:rFonts w:cs="Arial"/>
        </w:rPr>
        <w:t>Recognize that trade counterparts are not always known;</w:t>
      </w:r>
    </w:p>
    <w:p w14:paraId="24518530" w14:textId="77777777" w:rsidR="00C4063A" w:rsidRPr="000A4DD2" w:rsidRDefault="00C4063A" w:rsidP="00C4063A">
      <w:pPr>
        <w:pStyle w:val="Bullet1Last"/>
        <w:spacing w:after="120"/>
        <w:ind w:left="720"/>
        <w:rPr>
          <w:rFonts w:cs="Arial"/>
        </w:rPr>
      </w:pPr>
      <w:r w:rsidRPr="000A4DD2">
        <w:rPr>
          <w:rFonts w:cs="Arial"/>
        </w:rPr>
        <w:t>Fully recover the costs of transmission facilities associated with wheeling; and</w:t>
      </w:r>
    </w:p>
    <w:p w14:paraId="666F4113" w14:textId="77777777" w:rsidR="00C4063A" w:rsidRPr="000A4DD2" w:rsidRDefault="00C4063A" w:rsidP="00C4063A">
      <w:pPr>
        <w:pStyle w:val="Bullet1Last"/>
        <w:spacing w:after="120"/>
        <w:ind w:left="720"/>
        <w:rPr>
          <w:rFonts w:cs="Arial"/>
        </w:rPr>
      </w:pPr>
      <w:r w:rsidRPr="000A4DD2">
        <w:rPr>
          <w:rFonts w:cs="Arial"/>
        </w:rPr>
        <w:t>Not restrict opportunities for cross</w:t>
      </w:r>
      <w:r w:rsidRPr="000A4DD2">
        <w:rPr>
          <w:rFonts w:ascii="Cambria Math" w:hAnsi="Cambria Math" w:cs="Cambria Math"/>
        </w:rPr>
        <w:t>‐</w:t>
      </w:r>
      <w:r w:rsidRPr="000A4DD2">
        <w:rPr>
          <w:rFonts w:cs="Arial"/>
        </w:rPr>
        <w:t>border trading.</w:t>
      </w:r>
    </w:p>
    <w:p w14:paraId="58EB3EF7" w14:textId="0C6D2323" w:rsidR="00C4063A" w:rsidRPr="00011089" w:rsidRDefault="00011089" w:rsidP="00C4063A">
      <w:r>
        <w:t>In the meantime, utilities continue to use the MW-km method and negotiated tariffs</w:t>
      </w:r>
      <w:r w:rsidR="003C628F">
        <w:t xml:space="preserve"> for bilateral trade</w:t>
      </w:r>
      <w:r>
        <w:t>. According to the</w:t>
      </w:r>
      <w:r w:rsidR="008E414B">
        <w:t xml:space="preserve"> Deloitte</w:t>
      </w:r>
      <w:r>
        <w:t xml:space="preserve"> Team’s understanding</w:t>
      </w:r>
      <w:r w:rsidR="003C628F">
        <w:t xml:space="preserve"> based on public sources of information</w:t>
      </w:r>
      <w:r>
        <w:t>, the following approaches are under consideration.</w:t>
      </w:r>
    </w:p>
    <w:p w14:paraId="7E054CB3" w14:textId="7465C0E9" w:rsidR="00595440" w:rsidRPr="00C4063A" w:rsidRDefault="00475031" w:rsidP="00DB75EB">
      <w:pPr>
        <w:pStyle w:val="Heading3"/>
      </w:pPr>
      <w:r>
        <w:t>Entry - Exit Pricing</w:t>
      </w:r>
      <w:r w:rsidR="00595440" w:rsidRPr="00C4063A">
        <w:t>:</w:t>
      </w:r>
    </w:p>
    <w:p w14:paraId="2C5C5A2D" w14:textId="132AF52C" w:rsidR="00595440" w:rsidRDefault="00475031" w:rsidP="00595440">
      <w:r>
        <w:t>The Entry - Exit</w:t>
      </w:r>
      <w:r w:rsidR="00595440">
        <w:t xml:space="preserve"> methodology, as the name implies, is a charge based on metered import and export of power flows at each node of a transmission network. The actual load flows </w:t>
      </w:r>
      <w:r w:rsidR="001D5528">
        <w:t xml:space="preserve">and not distance </w:t>
      </w:r>
      <w:r w:rsidR="00595440">
        <w:t>determine</w:t>
      </w:r>
      <w:r w:rsidR="001D5528">
        <w:t>s</w:t>
      </w:r>
      <w:r w:rsidR="00595440">
        <w:t xml:space="preserve"> the revenues recovered through the charge. SAPP has been testing this approach since 2016 and </w:t>
      </w:r>
      <w:r w:rsidR="00C73B71">
        <w:t xml:space="preserve">reportedly </w:t>
      </w:r>
      <w:r w:rsidR="00595440">
        <w:t xml:space="preserve">intends to develop and publish entry and exit charges for every node </w:t>
      </w:r>
      <w:r w:rsidR="00C73B71">
        <w:t xml:space="preserve">and zone </w:t>
      </w:r>
      <w:r w:rsidR="00595440">
        <w:t>(country border &amp; IPP connection point) in</w:t>
      </w:r>
      <w:r w:rsidR="00011089">
        <w:t xml:space="preserve"> </w:t>
      </w:r>
      <w:r w:rsidR="006D435C">
        <w:t xml:space="preserve">the </w:t>
      </w:r>
      <w:r w:rsidR="00011089">
        <w:t>SAPP-wide transmission network.</w:t>
      </w:r>
      <w:r w:rsidR="001D5528">
        <w:t xml:space="preserve"> This approach does not capture congestion charges and ancillary services based on actual load flow </w:t>
      </w:r>
      <w:r>
        <w:t>at a given time and these component</w:t>
      </w:r>
      <w:r w:rsidR="001D5528">
        <w:t xml:space="preserve">s would have to be </w:t>
      </w:r>
      <w:r>
        <w:t>charged for separately</w:t>
      </w:r>
      <w:r w:rsidR="001D5528">
        <w:t>.</w:t>
      </w:r>
    </w:p>
    <w:p w14:paraId="5066CD8B" w14:textId="0F6E276A" w:rsidR="00C73B71" w:rsidRDefault="00C73B71" w:rsidP="00C73B71">
      <w:r>
        <w:t xml:space="preserve">The Entry </w:t>
      </w:r>
      <w:r w:rsidR="00215C30">
        <w:t xml:space="preserve">- </w:t>
      </w:r>
      <w:r>
        <w:t xml:space="preserve">Exit </w:t>
      </w:r>
      <w:r w:rsidR="00215C30">
        <w:t>approach</w:t>
      </w:r>
      <w:r>
        <w:t xml:space="preserve"> is similar to the European </w:t>
      </w:r>
      <w:r w:rsidR="007C0A44">
        <w:t xml:space="preserve">approach to transmission pricing where revenues for the TSO are recovered from the load and generator based on locational pricing and </w:t>
      </w:r>
      <w:r w:rsidR="00215C30">
        <w:t>are not</w:t>
      </w:r>
      <w:r w:rsidR="007C0A44">
        <w:t xml:space="preserve"> dependent on the number of counterparties in the trade. The UK has adopted a similar approach where users of the national transmission network are </w:t>
      </w:r>
      <w:r>
        <w:t>subject to three e</w:t>
      </w:r>
      <w:r w:rsidR="007C0A44">
        <w:t>lements of transmission charges to ensure that costs related to congestion and ancillary services are also captured</w:t>
      </w:r>
      <w:r w:rsidR="007C0A44">
        <w:rPr>
          <w:rStyle w:val="FootnoteReference"/>
        </w:rPr>
        <w:footnoteReference w:id="12"/>
      </w:r>
      <w:r w:rsidR="00215C30">
        <w:t>:</w:t>
      </w:r>
    </w:p>
    <w:p w14:paraId="12E82C49" w14:textId="3D671C6F" w:rsidR="00C73B71" w:rsidRDefault="00C73B71" w:rsidP="007C0A44">
      <w:pPr>
        <w:pStyle w:val="ListParagraph"/>
        <w:numPr>
          <w:ilvl w:val="0"/>
          <w:numId w:val="21"/>
        </w:numPr>
      </w:pPr>
      <w:r>
        <w:t>Connection charges for the provision and m</w:t>
      </w:r>
      <w:r w:rsidR="00215C30">
        <w:t>aintenance of connection assets;</w:t>
      </w:r>
    </w:p>
    <w:p w14:paraId="17FA44B8" w14:textId="7B59E236" w:rsidR="007C0A44" w:rsidRDefault="007C0A44" w:rsidP="007C0A44">
      <w:pPr>
        <w:pStyle w:val="ListParagraph"/>
        <w:numPr>
          <w:ilvl w:val="0"/>
          <w:numId w:val="21"/>
        </w:numPr>
      </w:pPr>
      <w:r>
        <w:t>Transmission Network Use of System (TNUoS) charges for the provision and maintenance of any shared transmission infrastructure</w:t>
      </w:r>
      <w:r w:rsidR="00215C30">
        <w:t xml:space="preserve"> assets; and</w:t>
      </w:r>
    </w:p>
    <w:p w14:paraId="0754F0E6" w14:textId="27F5238D" w:rsidR="00C73B71" w:rsidRDefault="00C73B71" w:rsidP="00C73B71">
      <w:pPr>
        <w:pStyle w:val="ListParagraph"/>
        <w:numPr>
          <w:ilvl w:val="0"/>
          <w:numId w:val="21"/>
        </w:numPr>
      </w:pPr>
      <w:r>
        <w:lastRenderedPageBreak/>
        <w:t xml:space="preserve">Balancing Services Use of System (BSUoS) charges to </w:t>
      </w:r>
      <w:r w:rsidR="007C0A44">
        <w:t xml:space="preserve">recover </w:t>
      </w:r>
      <w:r>
        <w:t xml:space="preserve">costs incurred by the </w:t>
      </w:r>
      <w:r w:rsidR="007C0A44">
        <w:t xml:space="preserve">System Operator </w:t>
      </w:r>
      <w:r>
        <w:t>in its day-to-day operation</w:t>
      </w:r>
      <w:r w:rsidR="007C0A44">
        <w:t>s.</w:t>
      </w:r>
    </w:p>
    <w:p w14:paraId="488F53EB" w14:textId="56661D1E" w:rsidR="007C0A44" w:rsidRDefault="000D1DCE" w:rsidP="00C73B71">
      <w:r>
        <w:t xml:space="preserve">The Entry </w:t>
      </w:r>
      <w:r w:rsidR="00215C30">
        <w:t xml:space="preserve">- </w:t>
      </w:r>
      <w:r>
        <w:t xml:space="preserve">Exit </w:t>
      </w:r>
      <w:r w:rsidR="00215C30">
        <w:t>approach</w:t>
      </w:r>
      <w:r w:rsidRPr="000D1DCE">
        <w:t xml:space="preserve"> is compatible with the day ahead market</w:t>
      </w:r>
      <w:r>
        <w:t xml:space="preserve"> and </w:t>
      </w:r>
      <w:r w:rsidR="003C6FEB">
        <w:t>recovers the expected return on network assets involved in wheeling when the counterparties to the trade are not explicitly known</w:t>
      </w:r>
      <w:r w:rsidR="00F22A43">
        <w:rPr>
          <w:rStyle w:val="FootnoteReference"/>
        </w:rPr>
        <w:footnoteReference w:id="13"/>
      </w:r>
      <w:r w:rsidR="003C6FEB">
        <w:t>.</w:t>
      </w:r>
    </w:p>
    <w:p w14:paraId="5028E2C1" w14:textId="35B6FC01" w:rsidR="00C4063A" w:rsidRPr="00C4063A" w:rsidRDefault="00C4063A" w:rsidP="00DB75EB">
      <w:pPr>
        <w:pStyle w:val="Heading3"/>
      </w:pPr>
      <w:r w:rsidRPr="00C4063A">
        <w:t>Contribution to Line Flow Model</w:t>
      </w:r>
    </w:p>
    <w:p w14:paraId="6FE14D6F" w14:textId="1A57C798" w:rsidR="00011089" w:rsidRDefault="001D5528" w:rsidP="00C4063A">
      <w:r>
        <w:t>This model</w:t>
      </w:r>
      <w:r w:rsidR="00215C30">
        <w:t>,</w:t>
      </w:r>
      <w:r w:rsidR="00C4063A">
        <w:t xml:space="preserve"> </w:t>
      </w:r>
      <w:r w:rsidR="00011089">
        <w:t xml:space="preserve">which </w:t>
      </w:r>
      <w:r>
        <w:t xml:space="preserve">reportedly has </w:t>
      </w:r>
      <w:r w:rsidR="00011089">
        <w:t xml:space="preserve">not progressed beyond initial studies, is </w:t>
      </w:r>
      <w:r w:rsidR="00C4063A">
        <w:t xml:space="preserve">based on </w:t>
      </w:r>
      <w:r w:rsidR="0056061F">
        <w:t xml:space="preserve">a combination of </w:t>
      </w:r>
      <w:r w:rsidR="00C4063A">
        <w:t>the power flow MW-km and Nodal method</w:t>
      </w:r>
      <w:r w:rsidR="0056061F">
        <w:t xml:space="preserve"> and</w:t>
      </w:r>
      <w:r w:rsidR="00011089">
        <w:t xml:space="preserve"> results</w:t>
      </w:r>
      <w:r w:rsidR="00C4063A" w:rsidRPr="000F6BE1">
        <w:t xml:space="preserve"> in charges f</w:t>
      </w:r>
      <w:r w:rsidR="00C4063A">
        <w:t xml:space="preserve">or both </w:t>
      </w:r>
      <w:r w:rsidR="00057766">
        <w:t>the generator and load. Figure 3</w:t>
      </w:r>
      <w:r w:rsidR="00C4063A">
        <w:t xml:space="preserve"> shows the estimated transmission tariff.</w:t>
      </w:r>
    </w:p>
    <w:p w14:paraId="0515FA31" w14:textId="08680327" w:rsidR="00C4063A" w:rsidRDefault="00C4063A" w:rsidP="00C4063A">
      <w:pPr>
        <w:pStyle w:val="Caption"/>
      </w:pPr>
      <w:bookmarkStart w:id="57" w:name="_Toc507160825"/>
      <w:r>
        <w:t xml:space="preserve">Figure </w:t>
      </w:r>
      <w:r w:rsidR="00C6623D">
        <w:rPr>
          <w:noProof/>
        </w:rPr>
        <w:fldChar w:fldCharType="begin"/>
      </w:r>
      <w:r w:rsidR="00C6623D">
        <w:rPr>
          <w:noProof/>
        </w:rPr>
        <w:instrText xml:space="preserve"> SEQ Figure \* ARABIC </w:instrText>
      </w:r>
      <w:r w:rsidR="00C6623D">
        <w:rPr>
          <w:noProof/>
        </w:rPr>
        <w:fldChar w:fldCharType="separate"/>
      </w:r>
      <w:r w:rsidR="00057766">
        <w:rPr>
          <w:noProof/>
        </w:rPr>
        <w:t>3</w:t>
      </w:r>
      <w:r w:rsidR="00C6623D">
        <w:rPr>
          <w:noProof/>
        </w:rPr>
        <w:fldChar w:fldCharType="end"/>
      </w:r>
      <w:r>
        <w:t xml:space="preserve">: Transmission Charges Based on the </w:t>
      </w:r>
      <w:r w:rsidRPr="000F6BE1">
        <w:t>“Co</w:t>
      </w:r>
      <w:r>
        <w:t>ntribution to Line Flow Model”</w:t>
      </w:r>
      <w:bookmarkEnd w:id="57"/>
    </w:p>
    <w:p w14:paraId="372BE5D2" w14:textId="77777777" w:rsidR="00C4063A" w:rsidRPr="000F6BE1" w:rsidRDefault="00C4063A" w:rsidP="00C4063A">
      <w:pPr>
        <w:jc w:val="center"/>
      </w:pPr>
      <w:r w:rsidRPr="001F00DE">
        <w:rPr>
          <w:noProof/>
          <w:lang w:eastAsia="en-US"/>
        </w:rPr>
        <w:drawing>
          <wp:inline distT="0" distB="0" distL="0" distR="0" wp14:anchorId="392B6EBB" wp14:editId="5243BF12">
            <wp:extent cx="4991412" cy="2949933"/>
            <wp:effectExtent l="0" t="0" r="0" b="317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5"/>
                    <a:stretch>
                      <a:fillRect/>
                    </a:stretch>
                  </pic:blipFill>
                  <pic:spPr>
                    <a:xfrm>
                      <a:off x="0" y="0"/>
                      <a:ext cx="5044654" cy="2981399"/>
                    </a:xfrm>
                    <a:prstGeom prst="rect">
                      <a:avLst/>
                    </a:prstGeom>
                  </pic:spPr>
                </pic:pic>
              </a:graphicData>
            </a:graphic>
          </wp:inline>
        </w:drawing>
      </w:r>
    </w:p>
    <w:p w14:paraId="2A1C6FB9" w14:textId="77777777" w:rsidR="00C4063A" w:rsidRPr="004E3ADB" w:rsidRDefault="00C4063A" w:rsidP="00C4063A">
      <w:pPr>
        <w:rPr>
          <w:i/>
          <w:iCs/>
          <w:sz w:val="18"/>
          <w:szCs w:val="18"/>
        </w:rPr>
      </w:pPr>
      <w:r>
        <w:rPr>
          <w:i/>
          <w:iCs/>
          <w:sz w:val="18"/>
          <w:szCs w:val="18"/>
        </w:rPr>
        <w:t xml:space="preserve">               </w:t>
      </w:r>
      <w:r w:rsidRPr="004E3ADB">
        <w:rPr>
          <w:i/>
          <w:iCs/>
          <w:sz w:val="18"/>
          <w:szCs w:val="18"/>
        </w:rPr>
        <w:t>Source: SAPP</w:t>
      </w:r>
    </w:p>
    <w:p w14:paraId="2FE3F327" w14:textId="2B761DF5" w:rsidR="00C4063A" w:rsidRDefault="00C4063A" w:rsidP="00595440"/>
    <w:p w14:paraId="7B24510E" w14:textId="62E757A9" w:rsidR="00E73640" w:rsidRDefault="00C84B2C" w:rsidP="00395A01">
      <w:r>
        <w:t>This methodology provides</w:t>
      </w:r>
      <w:r w:rsidR="00395A01">
        <w:t xml:space="preserve"> </w:t>
      </w:r>
      <w:r>
        <w:t xml:space="preserve">the right </w:t>
      </w:r>
      <w:r w:rsidR="00395A01">
        <w:t>price signals</w:t>
      </w:r>
      <w:r>
        <w:t xml:space="preserve"> since it is based on the actual use of the transmission network asset including parallel path flows</w:t>
      </w:r>
      <w:r w:rsidR="00395A01">
        <w:t xml:space="preserve">. </w:t>
      </w:r>
      <w:r>
        <w:t xml:space="preserve">The load flow analysis accounts for </w:t>
      </w:r>
      <w:r w:rsidR="00395A01">
        <w:t xml:space="preserve">network constraints and </w:t>
      </w:r>
      <w:r>
        <w:t xml:space="preserve">potential congestion at nodes when calculating the </w:t>
      </w:r>
      <w:r w:rsidR="00395A01">
        <w:t xml:space="preserve">transmission tariff. </w:t>
      </w:r>
      <w:r>
        <w:t>It would however be important to also ensure that there is sufficient transmission capacity for such regional trades in an integrated electricity market.</w:t>
      </w:r>
      <w:r w:rsidR="00BB034B">
        <w:t xml:space="preserve"> Insufficient transmission capacity could be a cause for disallowing certain bilateral trades and may be preferable to impo</w:t>
      </w:r>
      <w:r w:rsidR="00215C30">
        <w:t>sing congestion charges. Such a</w:t>
      </w:r>
      <w:r w:rsidR="00BB034B">
        <w:t xml:space="preserve"> strategy could help allocate transmission capacity in the intra-day and day-ahead </w:t>
      </w:r>
      <w:r w:rsidR="009B004F">
        <w:t xml:space="preserve">and </w:t>
      </w:r>
      <w:r w:rsidR="009B004F" w:rsidRPr="009B004F">
        <w:t>Forward Physical Markets operation</w:t>
      </w:r>
      <w:r w:rsidR="009B004F">
        <w:t>s of SAPP (see Section 6).</w:t>
      </w:r>
    </w:p>
    <w:p w14:paraId="6D953241" w14:textId="1B6945B3" w:rsidR="00E73640" w:rsidRDefault="00E73640" w:rsidP="00395A01">
      <w:r>
        <w:t xml:space="preserve">SAPP completed its review in early 2016 but </w:t>
      </w:r>
      <w:r w:rsidR="00215C30">
        <w:t>this</w:t>
      </w:r>
      <w:r>
        <w:t xml:space="preserve"> methodology has not been accepted and adopted b</w:t>
      </w:r>
      <w:r w:rsidR="00C86DFE">
        <w:t>y all member countries. SAPP had</w:t>
      </w:r>
      <w:r>
        <w:t xml:space="preserve"> requested an independent international expert to review the methodology and provide recommendations, but the </w:t>
      </w:r>
      <w:r w:rsidR="00C86DFE">
        <w:t xml:space="preserve">status and </w:t>
      </w:r>
      <w:r>
        <w:t xml:space="preserve">outcome of this review </w:t>
      </w:r>
      <w:r w:rsidR="00C86DFE">
        <w:t xml:space="preserve">process </w:t>
      </w:r>
      <w:r>
        <w:t xml:space="preserve">was not available to the </w:t>
      </w:r>
      <w:r w:rsidR="003F58E4">
        <w:t xml:space="preserve">Deloitte </w:t>
      </w:r>
      <w:r>
        <w:t>Team.</w:t>
      </w:r>
    </w:p>
    <w:p w14:paraId="024FCB76" w14:textId="0B3DE502" w:rsidR="00011089" w:rsidRDefault="00595440" w:rsidP="00DB75EB">
      <w:pPr>
        <w:pStyle w:val="Heading1"/>
      </w:pPr>
      <w:bookmarkStart w:id="58" w:name="_Toc509394585"/>
      <w:bookmarkStart w:id="59" w:name="_Toc509394586"/>
      <w:bookmarkStart w:id="60" w:name="_Toc509394587"/>
      <w:bookmarkStart w:id="61" w:name="_Toc509394588"/>
      <w:bookmarkStart w:id="62" w:name="_Toc509394589"/>
      <w:bookmarkStart w:id="63" w:name="_Toc509394590"/>
      <w:bookmarkStart w:id="64" w:name="_Toc509394591"/>
      <w:bookmarkStart w:id="65" w:name="_Toc509394592"/>
      <w:bookmarkStart w:id="66" w:name="_Toc509394593"/>
      <w:bookmarkStart w:id="67" w:name="_Toc509394594"/>
      <w:bookmarkStart w:id="68" w:name="_Toc509394595"/>
      <w:bookmarkStart w:id="69" w:name="_Toc509394596"/>
      <w:bookmarkStart w:id="70" w:name="_Toc509394597"/>
      <w:bookmarkStart w:id="71" w:name="_Toc509394598"/>
      <w:bookmarkStart w:id="72" w:name="_Toc506918911"/>
      <w:bookmarkStart w:id="73" w:name="_Toc524014097"/>
      <w:bookmarkEnd w:id="58"/>
      <w:bookmarkEnd w:id="59"/>
      <w:bookmarkEnd w:id="60"/>
      <w:bookmarkEnd w:id="61"/>
      <w:bookmarkEnd w:id="62"/>
      <w:bookmarkEnd w:id="63"/>
      <w:bookmarkEnd w:id="64"/>
      <w:bookmarkEnd w:id="65"/>
      <w:bookmarkEnd w:id="66"/>
      <w:bookmarkEnd w:id="67"/>
      <w:bookmarkEnd w:id="68"/>
      <w:bookmarkEnd w:id="69"/>
      <w:bookmarkEnd w:id="70"/>
      <w:bookmarkEnd w:id="71"/>
      <w:r>
        <w:lastRenderedPageBreak/>
        <w:t>Review of Existing Agreements and Guidelines in SAPP</w:t>
      </w:r>
      <w:bookmarkEnd w:id="72"/>
      <w:r w:rsidR="00DB75EB">
        <w:t xml:space="preserve"> and pilot countries</w:t>
      </w:r>
      <w:bookmarkEnd w:id="73"/>
    </w:p>
    <w:p w14:paraId="7E762762" w14:textId="08775408" w:rsidR="00011089" w:rsidRPr="00011089" w:rsidRDefault="009B004F" w:rsidP="00011089">
      <w:pPr>
        <w:rPr>
          <w:lang w:eastAsia="en-US"/>
        </w:rPr>
      </w:pPr>
      <w:r>
        <w:t xml:space="preserve">Our </w:t>
      </w:r>
      <w:r w:rsidR="00011089">
        <w:t xml:space="preserve">understanding </w:t>
      </w:r>
      <w:r>
        <w:t xml:space="preserve">based on publicly available information and discussions with stakeholders </w:t>
      </w:r>
      <w:r w:rsidR="00011089">
        <w:t>is reflected below.</w:t>
      </w:r>
    </w:p>
    <w:p w14:paraId="0146F5AB" w14:textId="77777777" w:rsidR="00595440" w:rsidRDefault="00595440" w:rsidP="00DB75EB">
      <w:pPr>
        <w:pStyle w:val="Heading2"/>
      </w:pPr>
      <w:bookmarkStart w:id="74" w:name="_Toc506918912"/>
      <w:bookmarkStart w:id="75" w:name="_Toc524014098"/>
      <w:r>
        <w:t>SAPP Market Overview</w:t>
      </w:r>
      <w:bookmarkEnd w:id="74"/>
      <w:bookmarkEnd w:id="75"/>
    </w:p>
    <w:p w14:paraId="1A4B4AB5" w14:textId="6E62588B" w:rsidR="00595440" w:rsidRDefault="00595440" w:rsidP="00595440">
      <w:r>
        <w:t xml:space="preserve">Trading arrangements under SAPP are designed to fulfill the </w:t>
      </w:r>
      <w:r w:rsidR="00C44711">
        <w:t xml:space="preserve">organization’s </w:t>
      </w:r>
      <w:r>
        <w:t>vision</w:t>
      </w:r>
      <w:r>
        <w:rPr>
          <w:rStyle w:val="FootnoteReference"/>
        </w:rPr>
        <w:footnoteReference w:id="14"/>
      </w:r>
      <w:r w:rsidR="00057766">
        <w:t xml:space="preserve"> as follows</w:t>
      </w:r>
      <w:r>
        <w:t>:</w:t>
      </w:r>
    </w:p>
    <w:p w14:paraId="557DD453" w14:textId="77777777" w:rsidR="00595440" w:rsidRPr="000A4DD2" w:rsidRDefault="00595440" w:rsidP="00595440">
      <w:pPr>
        <w:pStyle w:val="Bullet1Last"/>
        <w:spacing w:after="120"/>
        <w:ind w:left="720"/>
        <w:rPr>
          <w:rFonts w:cs="Arial"/>
        </w:rPr>
      </w:pPr>
      <w:r w:rsidRPr="000A4DD2">
        <w:rPr>
          <w:rFonts w:cs="Arial"/>
        </w:rPr>
        <w:t>Facilitate the development of a competitive electricity market</w:t>
      </w:r>
      <w:r>
        <w:rPr>
          <w:rFonts w:cs="Arial"/>
        </w:rPr>
        <w:t xml:space="preserve"> in the Southern African region;</w:t>
      </w:r>
    </w:p>
    <w:p w14:paraId="57475FF0" w14:textId="77777777" w:rsidR="00595440" w:rsidRPr="000A4DD2" w:rsidRDefault="00595440" w:rsidP="00595440">
      <w:pPr>
        <w:pStyle w:val="Bullet1Last"/>
        <w:spacing w:after="120"/>
        <w:ind w:left="720"/>
        <w:rPr>
          <w:rFonts w:cs="Arial"/>
        </w:rPr>
      </w:pPr>
      <w:r>
        <w:rPr>
          <w:rFonts w:cs="Arial"/>
        </w:rPr>
        <w:t>Provide end users</w:t>
      </w:r>
      <w:r w:rsidRPr="000A4DD2">
        <w:rPr>
          <w:rFonts w:cs="Arial"/>
        </w:rPr>
        <w:t xml:space="preserve"> a choice of elec</w:t>
      </w:r>
      <w:r>
        <w:rPr>
          <w:rFonts w:cs="Arial"/>
        </w:rPr>
        <w:t>tricity supply;</w:t>
      </w:r>
    </w:p>
    <w:p w14:paraId="68384C02" w14:textId="77777777" w:rsidR="00595440" w:rsidRPr="000A4DD2" w:rsidRDefault="00595440" w:rsidP="00595440">
      <w:pPr>
        <w:pStyle w:val="Bullet1Last"/>
        <w:spacing w:after="120"/>
        <w:ind w:left="720"/>
        <w:rPr>
          <w:rFonts w:cs="Arial"/>
        </w:rPr>
      </w:pPr>
      <w:r w:rsidRPr="000A4DD2">
        <w:rPr>
          <w:rFonts w:cs="Arial"/>
        </w:rPr>
        <w:t>Ensure that the Southern African region is the region of choice for inves</w:t>
      </w:r>
      <w:r>
        <w:rPr>
          <w:rFonts w:cs="Arial"/>
        </w:rPr>
        <w:t>tment by energy intensive users; and</w:t>
      </w:r>
    </w:p>
    <w:p w14:paraId="52C8D00D" w14:textId="77777777" w:rsidR="00595440" w:rsidRPr="000A4DD2" w:rsidRDefault="00595440" w:rsidP="00595440">
      <w:pPr>
        <w:pStyle w:val="Bullet1Last"/>
        <w:spacing w:after="120"/>
        <w:ind w:left="720"/>
        <w:rPr>
          <w:rFonts w:cs="Arial"/>
        </w:rPr>
      </w:pPr>
      <w:r w:rsidRPr="000A4DD2">
        <w:rPr>
          <w:rFonts w:cs="Arial"/>
        </w:rPr>
        <w:t>Ensure sustainable energy developments through sound economic, environmental &amp; social practices.</w:t>
      </w:r>
    </w:p>
    <w:p w14:paraId="05A7393E" w14:textId="77777777" w:rsidR="00DB75EB" w:rsidRDefault="00595440" w:rsidP="00595440">
      <w:r>
        <w:t xml:space="preserve">SAPP initially operated through bilateral contracts under a Short-Term Energy Markets (STEM) system. SAPP has since </w:t>
      </w:r>
      <w:r w:rsidR="00C44711">
        <w:t>transitioned</w:t>
      </w:r>
      <w:r>
        <w:t xml:space="preserve"> to a Day-Ahead M</w:t>
      </w:r>
      <w:r w:rsidR="00C44711">
        <w:t>arket (DAM)</w:t>
      </w:r>
      <w:r w:rsidR="00BA0F32">
        <w:t xml:space="preserve"> under a cooperative power pool operating regime</w:t>
      </w:r>
      <w:r>
        <w:t xml:space="preserve">. </w:t>
      </w:r>
    </w:p>
    <w:p w14:paraId="15CBD20B" w14:textId="6F9C1CDC" w:rsidR="00595440" w:rsidRPr="00DB75EB" w:rsidRDefault="00595440" w:rsidP="00DB75EB">
      <w:pPr>
        <w:pStyle w:val="Heading3"/>
      </w:pPr>
      <w:r w:rsidRPr="00040479">
        <w:t>SAPP Electricity Markets</w:t>
      </w:r>
    </w:p>
    <w:p w14:paraId="4745B501" w14:textId="77777777" w:rsidR="00595440" w:rsidRDefault="00595440" w:rsidP="00595440">
      <w:r>
        <w:t>Under the STEM regime, bilateral markets operated mainly to meet long-term demand and supply balance in the region driven by trading arrangements mutually agreed between bilateral parties with a transmission path secured in advance. Bilateral contracts could be firm or non-firm.</w:t>
      </w:r>
    </w:p>
    <w:p w14:paraId="583DCC5E" w14:textId="77777777" w:rsidR="00595440" w:rsidRDefault="00595440" w:rsidP="00595440">
      <w:r>
        <w:t xml:space="preserve">SAPP also has a Forward Physical Markets operation, which is based on competitive trading in monthly or weekly contracts (or any other defined periods longer than one day ahead) for future delivery according to the contract specifications. </w:t>
      </w:r>
    </w:p>
    <w:p w14:paraId="55D6064B" w14:textId="7497DD26" w:rsidR="00595440" w:rsidRDefault="00595440" w:rsidP="00595440">
      <w:r>
        <w:t xml:space="preserve">Under the DAM regime, the objective is to trade electricity a day in advance of the delivery of such trades. This </w:t>
      </w:r>
      <w:r w:rsidR="00BA0F32">
        <w:t>is</w:t>
      </w:r>
      <w:r>
        <w:t xml:space="preserve"> based on hourly energy contracts for each of the 24 hours of the following day, or a future day. This is a continuous Intra Day Market (IDM), and trading takes place every day around the clock until one hour before delivery. Prices are set based on a first-come, first-served principle. Trading can also be for hourly energy contracts for one or more hours for periods as specified by the SAPP Market Operator.</w:t>
      </w:r>
    </w:p>
    <w:p w14:paraId="0EBC446A" w14:textId="77777777" w:rsidR="00595440" w:rsidRDefault="00595440" w:rsidP="00595440">
      <w:r>
        <w:t>A “Market Book of Rules” and “Participation Agreements” between participants and the SAPP Market Operator govern trading under SAPP.</w:t>
      </w:r>
    </w:p>
    <w:p w14:paraId="67994FD3" w14:textId="77777777" w:rsidR="00595440" w:rsidRDefault="00595440" w:rsidP="00595440">
      <w:pPr>
        <w:pStyle w:val="Heading3"/>
      </w:pPr>
      <w:bookmarkStart w:id="76" w:name="_Toc506918913"/>
      <w:r>
        <w:t>Transmission Interconnectivity in SAPP</w:t>
      </w:r>
      <w:bookmarkEnd w:id="76"/>
    </w:p>
    <w:p w14:paraId="7F985021" w14:textId="5FC111DF" w:rsidR="00595440" w:rsidRDefault="00595440" w:rsidP="00595440">
      <w:r>
        <w:fldChar w:fldCharType="begin"/>
      </w:r>
      <w:r>
        <w:instrText xml:space="preserve"> REF _Ref506918907 \h </w:instrText>
      </w:r>
      <w:r>
        <w:fldChar w:fldCharType="separate"/>
      </w:r>
      <w:r w:rsidR="00057766">
        <w:t xml:space="preserve">Figure </w:t>
      </w:r>
      <w:r w:rsidR="00057766">
        <w:rPr>
          <w:noProof/>
        </w:rPr>
        <w:t>4</w:t>
      </w:r>
      <w:r>
        <w:fldChar w:fldCharType="end"/>
      </w:r>
      <w:r>
        <w:t xml:space="preserve"> illustrates transmission interlinkages between SAPP member countries</w:t>
      </w:r>
      <w:r w:rsidR="00BA0F32">
        <w:t>, with dashed lines indicating planned linkages</w:t>
      </w:r>
      <w:r>
        <w:t>. There is a need for significant additional investmen</w:t>
      </w:r>
      <w:r w:rsidR="00BA0F32">
        <w:t>t in the transmission network, with estimates of</w:t>
      </w:r>
      <w:r>
        <w:t xml:space="preserve"> over USD 5.6 billion </w:t>
      </w:r>
      <w:r w:rsidR="00BA0F32">
        <w:t xml:space="preserve">of required investment </w:t>
      </w:r>
      <w:r>
        <w:t>to develop the following transmission interlinkage projects</w:t>
      </w:r>
      <w:r>
        <w:rPr>
          <w:rStyle w:val="FootnoteReference"/>
        </w:rPr>
        <w:footnoteReference w:id="15"/>
      </w:r>
      <w:r>
        <w:t>:</w:t>
      </w:r>
    </w:p>
    <w:p w14:paraId="1146F335" w14:textId="77777777" w:rsidR="00595440" w:rsidRPr="000A4DD2" w:rsidRDefault="00595440" w:rsidP="00595440">
      <w:pPr>
        <w:pStyle w:val="Bullet1Last"/>
        <w:spacing w:after="120"/>
        <w:ind w:left="720"/>
        <w:rPr>
          <w:rFonts w:cs="Arial"/>
        </w:rPr>
      </w:pPr>
      <w:r w:rsidRPr="000A4DD2">
        <w:rPr>
          <w:rFonts w:cs="Arial"/>
        </w:rPr>
        <w:lastRenderedPageBreak/>
        <w:t>ZIZABONA</w:t>
      </w:r>
      <w:r>
        <w:rPr>
          <w:rFonts w:cs="Arial"/>
        </w:rPr>
        <w:t>;</w:t>
      </w:r>
    </w:p>
    <w:p w14:paraId="69ECFD69" w14:textId="77777777" w:rsidR="00595440" w:rsidRPr="000A4DD2" w:rsidRDefault="00595440" w:rsidP="00595440">
      <w:pPr>
        <w:pStyle w:val="Bullet1Last"/>
        <w:spacing w:after="120"/>
        <w:ind w:left="720"/>
        <w:rPr>
          <w:rFonts w:cs="Arial"/>
        </w:rPr>
      </w:pPr>
      <w:r w:rsidRPr="000A4DD2">
        <w:rPr>
          <w:rFonts w:cs="Arial"/>
        </w:rPr>
        <w:t>Zambia-Tanzania</w:t>
      </w:r>
      <w:r>
        <w:rPr>
          <w:rFonts w:cs="Arial"/>
        </w:rPr>
        <w:t>;</w:t>
      </w:r>
    </w:p>
    <w:p w14:paraId="43C29816" w14:textId="77777777" w:rsidR="00595440" w:rsidRPr="000A4DD2" w:rsidRDefault="00595440" w:rsidP="00595440">
      <w:pPr>
        <w:pStyle w:val="Bullet1Last"/>
        <w:spacing w:after="120"/>
        <w:ind w:left="720"/>
        <w:rPr>
          <w:rFonts w:cs="Arial"/>
        </w:rPr>
      </w:pPr>
      <w:r w:rsidRPr="000A4DD2">
        <w:rPr>
          <w:rFonts w:cs="Arial"/>
        </w:rPr>
        <w:t>Malawi-Mozambique</w:t>
      </w:r>
      <w:r>
        <w:rPr>
          <w:rFonts w:cs="Arial"/>
        </w:rPr>
        <w:t>;</w:t>
      </w:r>
    </w:p>
    <w:p w14:paraId="1B514FE6" w14:textId="77777777" w:rsidR="00595440" w:rsidRPr="000A4DD2" w:rsidRDefault="00595440" w:rsidP="00595440">
      <w:pPr>
        <w:pStyle w:val="Bullet1Last"/>
        <w:spacing w:after="120"/>
        <w:ind w:left="720"/>
        <w:rPr>
          <w:rFonts w:cs="Arial"/>
        </w:rPr>
      </w:pPr>
      <w:r w:rsidRPr="000A4DD2">
        <w:rPr>
          <w:rFonts w:cs="Arial"/>
        </w:rPr>
        <w:t>DRC-Zambia</w:t>
      </w:r>
      <w:r>
        <w:rPr>
          <w:rFonts w:cs="Arial"/>
        </w:rPr>
        <w:t>; and</w:t>
      </w:r>
    </w:p>
    <w:p w14:paraId="59CB3D1D" w14:textId="6E22F5E0" w:rsidR="00011089" w:rsidRPr="00DB75EB" w:rsidRDefault="00595440" w:rsidP="00DB75EB">
      <w:pPr>
        <w:pStyle w:val="Bullet1Last"/>
        <w:spacing w:after="120"/>
        <w:ind w:left="720"/>
        <w:rPr>
          <w:rFonts w:cs="Arial"/>
        </w:rPr>
      </w:pPr>
      <w:r w:rsidRPr="000A4DD2">
        <w:rPr>
          <w:rFonts w:cs="Arial"/>
        </w:rPr>
        <w:t>Mozambique Backbone</w:t>
      </w:r>
      <w:r>
        <w:rPr>
          <w:rFonts w:cs="Arial"/>
        </w:rPr>
        <w:t>.</w:t>
      </w:r>
    </w:p>
    <w:p w14:paraId="66BF8A72" w14:textId="030D90EC" w:rsidR="00595440" w:rsidRDefault="00595440" w:rsidP="00595440">
      <w:pPr>
        <w:pStyle w:val="Caption"/>
      </w:pPr>
      <w:bookmarkStart w:id="77" w:name="_Ref506918907"/>
      <w:bookmarkStart w:id="78" w:name="_Toc507160824"/>
      <w:r>
        <w:t xml:space="preserve">Figure </w:t>
      </w:r>
      <w:r w:rsidR="00C6623D">
        <w:rPr>
          <w:noProof/>
        </w:rPr>
        <w:fldChar w:fldCharType="begin"/>
      </w:r>
      <w:r w:rsidR="00C6623D">
        <w:rPr>
          <w:noProof/>
        </w:rPr>
        <w:instrText xml:space="preserve"> SEQ Figure \* ARABIC </w:instrText>
      </w:r>
      <w:r w:rsidR="00C6623D">
        <w:rPr>
          <w:noProof/>
        </w:rPr>
        <w:fldChar w:fldCharType="separate"/>
      </w:r>
      <w:r w:rsidR="00057766">
        <w:rPr>
          <w:noProof/>
        </w:rPr>
        <w:t>4</w:t>
      </w:r>
      <w:r w:rsidR="00C6623D">
        <w:rPr>
          <w:noProof/>
        </w:rPr>
        <w:fldChar w:fldCharType="end"/>
      </w:r>
      <w:bookmarkEnd w:id="77"/>
      <w:r>
        <w:t>: Transmission Interconnections in SAPP</w:t>
      </w:r>
      <w:bookmarkEnd w:id="78"/>
    </w:p>
    <w:p w14:paraId="5D2F330B" w14:textId="77777777" w:rsidR="00595440" w:rsidRDefault="00595440" w:rsidP="00595440">
      <w:pPr>
        <w:jc w:val="center"/>
      </w:pPr>
      <w:r>
        <w:rPr>
          <w:noProof/>
          <w:lang w:eastAsia="en-US"/>
        </w:rPr>
        <w:drawing>
          <wp:inline distT="0" distB="0" distL="0" distR="0" wp14:anchorId="4005BDCA" wp14:editId="767175A0">
            <wp:extent cx="4543668" cy="54139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48148" cy="5419311"/>
                    </a:xfrm>
                    <a:prstGeom prst="rect">
                      <a:avLst/>
                    </a:prstGeom>
                  </pic:spPr>
                </pic:pic>
              </a:graphicData>
            </a:graphic>
          </wp:inline>
        </w:drawing>
      </w:r>
    </w:p>
    <w:p w14:paraId="76C621F5" w14:textId="7D003237" w:rsidR="00595440" w:rsidRPr="00BB4E0A" w:rsidRDefault="006641E4" w:rsidP="00595440">
      <w:pPr>
        <w:rPr>
          <w:i/>
          <w:iCs/>
          <w:sz w:val="18"/>
          <w:szCs w:val="18"/>
        </w:rPr>
      </w:pPr>
      <w:r>
        <w:rPr>
          <w:i/>
          <w:iCs/>
          <w:sz w:val="18"/>
          <w:szCs w:val="18"/>
        </w:rPr>
        <w:t xml:space="preserve">                </w:t>
      </w:r>
      <w:r w:rsidR="00595440" w:rsidRPr="00BB4E0A">
        <w:rPr>
          <w:i/>
          <w:iCs/>
          <w:sz w:val="18"/>
          <w:szCs w:val="18"/>
        </w:rPr>
        <w:t>Source: SAPP Website</w:t>
      </w:r>
    </w:p>
    <w:p w14:paraId="2A11A29A" w14:textId="52915C02" w:rsidR="00595440" w:rsidRDefault="00595440" w:rsidP="00DB75EB">
      <w:pPr>
        <w:pStyle w:val="Heading2"/>
      </w:pPr>
      <w:bookmarkStart w:id="79" w:name="_Toc506918914"/>
      <w:bookmarkStart w:id="80" w:name="_Toc524014099"/>
      <w:r>
        <w:t>Pilot Countr</w:t>
      </w:r>
      <w:bookmarkEnd w:id="79"/>
      <w:r w:rsidR="00DB75EB">
        <w:t>y Overview</w:t>
      </w:r>
      <w:bookmarkEnd w:id="80"/>
    </w:p>
    <w:p w14:paraId="0197A552" w14:textId="77586313" w:rsidR="00595440" w:rsidRPr="00040479" w:rsidRDefault="00BA0F32" w:rsidP="00595440">
      <w:r w:rsidRPr="00BA0F32">
        <w:t>The SAPP approach</w:t>
      </w:r>
      <w:r>
        <w:t xml:space="preserve"> described above</w:t>
      </w:r>
      <w:r w:rsidR="00011089">
        <w:t xml:space="preserve"> is not mandated for</w:t>
      </w:r>
      <w:r w:rsidRPr="00BA0F32">
        <w:t xml:space="preserve"> member countries. </w:t>
      </w:r>
      <w:r w:rsidR="00595440">
        <w:t xml:space="preserve">Member </w:t>
      </w:r>
      <w:r>
        <w:t>countries, including</w:t>
      </w:r>
      <w:r w:rsidR="00595440">
        <w:t xml:space="preserve"> the pilot countries of</w:t>
      </w:r>
      <w:r w:rsidR="00595440" w:rsidRPr="00040479">
        <w:t xml:space="preserve"> Botswana, Namibia and Zambia, </w:t>
      </w:r>
      <w:r w:rsidR="00595440" w:rsidRPr="00040479">
        <w:rPr>
          <w:iCs/>
        </w:rPr>
        <w:t>do not have a consistent or harmonized framework or tariff structure for cross border</w:t>
      </w:r>
      <w:r w:rsidR="00057766">
        <w:rPr>
          <w:iCs/>
        </w:rPr>
        <w:t xml:space="preserve"> power trade</w:t>
      </w:r>
      <w:r w:rsidR="00595440" w:rsidRPr="00040479">
        <w:t>. In fact, dis</w:t>
      </w:r>
      <w:r w:rsidR="00595440">
        <w:t xml:space="preserve">cussions with </w:t>
      </w:r>
      <w:r w:rsidR="00595440">
        <w:lastRenderedPageBreak/>
        <w:t xml:space="preserve">stakeholders held during </w:t>
      </w:r>
      <w:r w:rsidR="00057766">
        <w:t>the</w:t>
      </w:r>
      <w:r w:rsidR="008E414B">
        <w:t xml:space="preserve"> Deloitte</w:t>
      </w:r>
      <w:r w:rsidR="00057766">
        <w:t xml:space="preserve"> Team’s </w:t>
      </w:r>
      <w:r w:rsidR="009B004F">
        <w:t>two m</w:t>
      </w:r>
      <w:r w:rsidR="00595440">
        <w:t>ission</w:t>
      </w:r>
      <w:r w:rsidR="009B004F">
        <w:t>s</w:t>
      </w:r>
      <w:r w:rsidR="00595440">
        <w:t xml:space="preserve"> indicate cross-border power flows are presently charged based on bilateral negotiations. The agreements of these bilateral contracts </w:t>
      </w:r>
      <w:r w:rsidR="009B004F">
        <w:t>were not made available for review by the</w:t>
      </w:r>
      <w:r w:rsidR="008E414B">
        <w:t xml:space="preserve"> Deloitte</w:t>
      </w:r>
      <w:r w:rsidR="009B004F">
        <w:t xml:space="preserve"> </w:t>
      </w:r>
      <w:r w:rsidR="00595440">
        <w:t>Team</w:t>
      </w:r>
      <w:r w:rsidR="00595440" w:rsidRPr="00040479">
        <w:t xml:space="preserve">. </w:t>
      </w:r>
    </w:p>
    <w:p w14:paraId="31ADF72F" w14:textId="0B3669B0" w:rsidR="00595440" w:rsidRDefault="00595440" w:rsidP="00595440">
      <w:r w:rsidRPr="00040479">
        <w:rPr>
          <w:iCs/>
        </w:rPr>
        <w:t xml:space="preserve">Cross-border power flows through third party networks which may serve as transit between two countries with a bilateral agreement are </w:t>
      </w:r>
      <w:r w:rsidR="009B004F">
        <w:rPr>
          <w:iCs/>
        </w:rPr>
        <w:t xml:space="preserve">presently </w:t>
      </w:r>
      <w:r w:rsidRPr="00040479">
        <w:rPr>
          <w:iCs/>
        </w:rPr>
        <w:t>charged based on wheeling charges agreed between member countries of SAPP</w:t>
      </w:r>
      <w:r w:rsidR="00057766">
        <w:t>. Annex A</w:t>
      </w:r>
      <w:r>
        <w:t xml:space="preserve"> provides SAPP-approved w</w:t>
      </w:r>
      <w:r w:rsidRPr="00040479">
        <w:t>heeling charges payable to transit countries</w:t>
      </w:r>
      <w:r>
        <w:t>.</w:t>
      </w:r>
    </w:p>
    <w:p w14:paraId="4780BB7A" w14:textId="7ACA7E12" w:rsidR="00595440" w:rsidRDefault="00595440" w:rsidP="00595440">
      <w:pPr>
        <w:pStyle w:val="Heading2"/>
      </w:pPr>
      <w:bookmarkStart w:id="81" w:name="_Toc506918918"/>
      <w:bookmarkStart w:id="82" w:name="_Toc524014100"/>
      <w:r>
        <w:t>Laws a</w:t>
      </w:r>
      <w:r w:rsidR="00DB75EB">
        <w:t>nd Regulations Governing Cross-B</w:t>
      </w:r>
      <w:r>
        <w:t>order Transmission Pricing</w:t>
      </w:r>
      <w:bookmarkEnd w:id="81"/>
      <w:bookmarkEnd w:id="82"/>
    </w:p>
    <w:p w14:paraId="30A5064C" w14:textId="1963BE83" w:rsidR="00595440" w:rsidRDefault="00057766" w:rsidP="00595440">
      <w:r>
        <w:t xml:space="preserve">In 2011, </w:t>
      </w:r>
      <w:r w:rsidR="00595440">
        <w:t xml:space="preserve">RERA developed an enabling framework for cross border power trading </w:t>
      </w:r>
      <w:r>
        <w:t>outlined in</w:t>
      </w:r>
      <w:r w:rsidR="00595440">
        <w:t xml:space="preserve"> “</w:t>
      </w:r>
      <w:r>
        <w:t xml:space="preserve">Regulatory </w:t>
      </w:r>
      <w:r w:rsidR="00595440">
        <w:t xml:space="preserve">Guidelines on Cross Border Power Trading in Southern Africa”. RERA </w:t>
      </w:r>
      <w:r>
        <w:t xml:space="preserve">had previously </w:t>
      </w:r>
      <w:r w:rsidR="00595440">
        <w:t>identified regulatory constraints as one of the major causes for the lack of investment in cross-border transmission projects and developed the Guidelines as a first step to harmonizing national electricity regulatory systems to encouraging cross-border power transactions</w:t>
      </w:r>
      <w:r w:rsidR="00595440">
        <w:rPr>
          <w:rStyle w:val="FootnoteReference"/>
        </w:rPr>
        <w:footnoteReference w:id="16"/>
      </w:r>
      <w:r w:rsidR="00595440">
        <w:t>. The Guidelines provide principles, rules and procedures to support cross-border transmission projects, and seek to:</w:t>
      </w:r>
    </w:p>
    <w:p w14:paraId="45EF5652" w14:textId="77777777" w:rsidR="00595440" w:rsidRPr="000A4DD2" w:rsidRDefault="00595440" w:rsidP="00595440">
      <w:pPr>
        <w:pStyle w:val="Bullet1Last"/>
        <w:spacing w:after="120"/>
        <w:ind w:left="720"/>
        <w:rPr>
          <w:rFonts w:cs="Arial"/>
        </w:rPr>
      </w:pPr>
      <w:r w:rsidRPr="000A4DD2">
        <w:rPr>
          <w:rFonts w:cs="Arial"/>
        </w:rPr>
        <w:t>Clarify the role of regulators in regulating cross-border electricity transactions to minimize regulatory risks for power investors and customers</w:t>
      </w:r>
      <w:r>
        <w:rPr>
          <w:rFonts w:cs="Arial"/>
        </w:rPr>
        <w:t>;</w:t>
      </w:r>
    </w:p>
    <w:p w14:paraId="09CF50EC" w14:textId="77777777" w:rsidR="00595440" w:rsidRPr="000A4DD2" w:rsidRDefault="00595440" w:rsidP="00595440">
      <w:pPr>
        <w:pStyle w:val="Bullet1Last"/>
        <w:spacing w:after="120"/>
        <w:ind w:left="720"/>
        <w:rPr>
          <w:rFonts w:cs="Arial"/>
        </w:rPr>
      </w:pPr>
      <w:r w:rsidRPr="000A4DD2">
        <w:rPr>
          <w:rFonts w:cs="Arial"/>
        </w:rPr>
        <w:t>Promote efficient and sustainable cross-border electricity transactions that are fair to all parties</w:t>
      </w:r>
      <w:r>
        <w:rPr>
          <w:rFonts w:cs="Arial"/>
        </w:rPr>
        <w:t>; and</w:t>
      </w:r>
    </w:p>
    <w:p w14:paraId="71602BFF" w14:textId="77777777" w:rsidR="00595440" w:rsidRPr="000A4DD2" w:rsidRDefault="00595440" w:rsidP="00595440">
      <w:pPr>
        <w:pStyle w:val="Bullet1Last"/>
        <w:spacing w:after="120"/>
        <w:ind w:left="720"/>
        <w:rPr>
          <w:rFonts w:cs="Arial"/>
        </w:rPr>
      </w:pPr>
      <w:r w:rsidRPr="000A4DD2">
        <w:rPr>
          <w:rFonts w:cs="Arial"/>
        </w:rPr>
        <w:t>Promote least-cost sector development and ensure security of supply</w:t>
      </w:r>
      <w:r>
        <w:rPr>
          <w:rFonts w:cs="Arial"/>
        </w:rPr>
        <w:t>.</w:t>
      </w:r>
    </w:p>
    <w:p w14:paraId="1184D3AB" w14:textId="012FD878" w:rsidR="00595440" w:rsidRDefault="00595440" w:rsidP="00595440">
      <w:r>
        <w:t xml:space="preserve">While the Guidelines have no legal precedence over the decisions of national regulators, the </w:t>
      </w:r>
      <w:r w:rsidRPr="00F313D5">
        <w:t>So</w:t>
      </w:r>
      <w:r>
        <w:t>uthern African Development Com</w:t>
      </w:r>
      <w:r w:rsidRPr="00F313D5">
        <w:t xml:space="preserve">munity </w:t>
      </w:r>
      <w:r>
        <w:t xml:space="preserve">(SADC) Energy Ministers adopted them </w:t>
      </w:r>
      <w:r w:rsidR="00057766">
        <w:t xml:space="preserve">later that year, and a </w:t>
      </w:r>
      <w:r>
        <w:t xml:space="preserve">number of regulatory authorities in RERA member countries including those in Lesotho, Malawi, Mozambique, Namibia, South Africa, United Republic of Tanzania, and Zambia have since adopted the Guidelines. </w:t>
      </w:r>
    </w:p>
    <w:p w14:paraId="2FB90EAE" w14:textId="77777777" w:rsidR="00595440" w:rsidRDefault="00595440" w:rsidP="00595440">
      <w:r>
        <w:t>The Regulatory Guidelines for cross-border power trading in SADC region address the following nine items:</w:t>
      </w:r>
    </w:p>
    <w:p w14:paraId="6974EE98" w14:textId="77777777" w:rsidR="00595440" w:rsidRPr="000A4DD2" w:rsidRDefault="00595440" w:rsidP="00595440">
      <w:pPr>
        <w:pStyle w:val="Bullet1Last"/>
        <w:numPr>
          <w:ilvl w:val="0"/>
          <w:numId w:val="6"/>
        </w:numPr>
        <w:spacing w:after="120"/>
        <w:rPr>
          <w:rFonts w:cs="Arial"/>
        </w:rPr>
      </w:pPr>
      <w:r w:rsidRPr="000A4DD2">
        <w:rPr>
          <w:rFonts w:cs="Arial"/>
        </w:rPr>
        <w:t>Regulator’s powers and duties in cross-border trading</w:t>
      </w:r>
      <w:r>
        <w:rPr>
          <w:rFonts w:cs="Arial"/>
        </w:rPr>
        <w:t>;</w:t>
      </w:r>
    </w:p>
    <w:p w14:paraId="45F21EB3" w14:textId="291663A5" w:rsidR="00595440" w:rsidRPr="000A4DD2" w:rsidRDefault="00057766" w:rsidP="00595440">
      <w:pPr>
        <w:pStyle w:val="Bullet1Last"/>
        <w:numPr>
          <w:ilvl w:val="0"/>
          <w:numId w:val="6"/>
        </w:numPr>
        <w:spacing w:after="120"/>
        <w:rPr>
          <w:rFonts w:cs="Arial"/>
        </w:rPr>
      </w:pPr>
      <w:r>
        <w:rPr>
          <w:rFonts w:cs="Arial"/>
        </w:rPr>
        <w:t>Work</w:t>
      </w:r>
      <w:r w:rsidR="00595440" w:rsidRPr="000A4DD2">
        <w:rPr>
          <w:rFonts w:cs="Arial"/>
        </w:rPr>
        <w:t xml:space="preserve"> to ensure compatible regulatory decisions</w:t>
      </w:r>
      <w:r w:rsidR="00595440">
        <w:rPr>
          <w:rFonts w:cs="Arial"/>
        </w:rPr>
        <w:t>;</w:t>
      </w:r>
    </w:p>
    <w:p w14:paraId="74909EED" w14:textId="77777777" w:rsidR="00595440" w:rsidRPr="000A4DD2" w:rsidRDefault="00595440" w:rsidP="00595440">
      <w:pPr>
        <w:pStyle w:val="Bullet1Last"/>
        <w:numPr>
          <w:ilvl w:val="0"/>
          <w:numId w:val="6"/>
        </w:numPr>
        <w:spacing w:after="120"/>
        <w:rPr>
          <w:rFonts w:cs="Arial"/>
        </w:rPr>
      </w:pPr>
      <w:r w:rsidRPr="000A4DD2">
        <w:rPr>
          <w:rFonts w:cs="Arial"/>
        </w:rPr>
        <w:t>Timing of regulatory interactions for proposed cross-border transactions</w:t>
      </w:r>
      <w:r>
        <w:rPr>
          <w:rFonts w:cs="Arial"/>
        </w:rPr>
        <w:t>;</w:t>
      </w:r>
    </w:p>
    <w:p w14:paraId="6B2DEB7F" w14:textId="77777777" w:rsidR="00595440" w:rsidRPr="000A4DD2" w:rsidRDefault="00595440" w:rsidP="00595440">
      <w:pPr>
        <w:pStyle w:val="Bullet1Last"/>
        <w:numPr>
          <w:ilvl w:val="0"/>
          <w:numId w:val="6"/>
        </w:numPr>
        <w:spacing w:after="120"/>
        <w:rPr>
          <w:rFonts w:cs="Arial"/>
        </w:rPr>
      </w:pPr>
      <w:r w:rsidRPr="000A4DD2">
        <w:rPr>
          <w:rFonts w:cs="Arial"/>
        </w:rPr>
        <w:t>Licensing cross-border trading facilities, imports and exports</w:t>
      </w:r>
      <w:r>
        <w:rPr>
          <w:rFonts w:cs="Arial"/>
        </w:rPr>
        <w:t>;</w:t>
      </w:r>
    </w:p>
    <w:p w14:paraId="5BB05BA6" w14:textId="77777777" w:rsidR="00595440" w:rsidRPr="000A4DD2" w:rsidRDefault="00595440" w:rsidP="00595440">
      <w:pPr>
        <w:pStyle w:val="Bullet1Last"/>
        <w:numPr>
          <w:ilvl w:val="0"/>
          <w:numId w:val="6"/>
        </w:numPr>
        <w:spacing w:after="120"/>
        <w:rPr>
          <w:rFonts w:cs="Arial"/>
        </w:rPr>
      </w:pPr>
      <w:r w:rsidRPr="000A4DD2">
        <w:rPr>
          <w:rFonts w:cs="Arial"/>
        </w:rPr>
        <w:t>Approving cross-border agreements in importing countries</w:t>
      </w:r>
      <w:r>
        <w:rPr>
          <w:rFonts w:cs="Arial"/>
        </w:rPr>
        <w:t>;</w:t>
      </w:r>
    </w:p>
    <w:p w14:paraId="17B8DA88" w14:textId="77777777" w:rsidR="00595440" w:rsidRPr="000A4DD2" w:rsidRDefault="00595440" w:rsidP="00595440">
      <w:pPr>
        <w:pStyle w:val="Bullet1Last"/>
        <w:numPr>
          <w:ilvl w:val="0"/>
          <w:numId w:val="6"/>
        </w:numPr>
        <w:spacing w:after="120"/>
        <w:rPr>
          <w:rFonts w:cs="Arial"/>
        </w:rPr>
      </w:pPr>
      <w:r w:rsidRPr="000A4DD2">
        <w:rPr>
          <w:rFonts w:cs="Arial"/>
        </w:rPr>
        <w:t>Approving cross-border agreements in exporting countries</w:t>
      </w:r>
      <w:r>
        <w:rPr>
          <w:rFonts w:cs="Arial"/>
        </w:rPr>
        <w:t>;</w:t>
      </w:r>
    </w:p>
    <w:p w14:paraId="29A4441D" w14:textId="77777777" w:rsidR="00595440" w:rsidRPr="000A4DD2" w:rsidRDefault="00595440" w:rsidP="00595440">
      <w:pPr>
        <w:pStyle w:val="Bullet1Last"/>
        <w:numPr>
          <w:ilvl w:val="0"/>
          <w:numId w:val="6"/>
        </w:numPr>
        <w:spacing w:after="120"/>
        <w:rPr>
          <w:rFonts w:cs="Arial"/>
        </w:rPr>
      </w:pPr>
      <w:r w:rsidRPr="000A4DD2">
        <w:rPr>
          <w:rFonts w:cs="Arial"/>
        </w:rPr>
        <w:t>Approving cross-border agreements in transit countries</w:t>
      </w:r>
      <w:r>
        <w:rPr>
          <w:rFonts w:cs="Arial"/>
        </w:rPr>
        <w:t>;</w:t>
      </w:r>
    </w:p>
    <w:p w14:paraId="1DD5C290" w14:textId="77777777" w:rsidR="00595440" w:rsidRPr="000A4DD2" w:rsidRDefault="00595440" w:rsidP="00595440">
      <w:pPr>
        <w:pStyle w:val="Bullet1Last"/>
        <w:numPr>
          <w:ilvl w:val="0"/>
          <w:numId w:val="6"/>
        </w:numPr>
        <w:spacing w:after="120"/>
        <w:rPr>
          <w:rFonts w:cs="Arial"/>
        </w:rPr>
      </w:pPr>
      <w:r w:rsidRPr="000A4DD2">
        <w:rPr>
          <w:rFonts w:cs="Arial"/>
        </w:rPr>
        <w:t>Approving transmission access and pricing and ancillary services</w:t>
      </w:r>
      <w:r>
        <w:rPr>
          <w:rFonts w:cs="Arial"/>
        </w:rPr>
        <w:t>; and</w:t>
      </w:r>
    </w:p>
    <w:p w14:paraId="2C95C05E" w14:textId="77777777" w:rsidR="00595440" w:rsidRPr="000A4DD2" w:rsidRDefault="00595440" w:rsidP="00595440">
      <w:pPr>
        <w:pStyle w:val="Bullet1Last"/>
        <w:numPr>
          <w:ilvl w:val="0"/>
          <w:numId w:val="6"/>
        </w:numPr>
        <w:spacing w:after="120"/>
        <w:rPr>
          <w:rFonts w:cs="Arial"/>
        </w:rPr>
      </w:pPr>
      <w:r w:rsidRPr="000A4DD2">
        <w:rPr>
          <w:rFonts w:cs="Arial"/>
        </w:rPr>
        <w:t>Promoting transparency in the regulation of cross-border trading</w:t>
      </w:r>
      <w:r>
        <w:rPr>
          <w:rFonts w:cs="Arial"/>
        </w:rPr>
        <w:t>.</w:t>
      </w:r>
    </w:p>
    <w:p w14:paraId="1255A829" w14:textId="794E4C19" w:rsidR="00595440" w:rsidRDefault="00595440" w:rsidP="007407EA"/>
    <w:p w14:paraId="3172865B" w14:textId="7DFF7A97" w:rsidR="00DB75EB" w:rsidRDefault="001064BA" w:rsidP="00DB75EB">
      <w:pPr>
        <w:pStyle w:val="Heading1"/>
      </w:pPr>
      <w:bookmarkStart w:id="83" w:name="_Toc506918916"/>
      <w:bookmarkStart w:id="84" w:name="_Toc524014101"/>
      <w:r>
        <w:lastRenderedPageBreak/>
        <w:t xml:space="preserve">USE OF THE </w:t>
      </w:r>
      <w:r w:rsidR="00DB75EB">
        <w:t>ZIZABONA Transmission Line</w:t>
      </w:r>
      <w:bookmarkEnd w:id="83"/>
      <w:r w:rsidR="00F16978">
        <w:t xml:space="preserve"> as a basis for developing </w:t>
      </w:r>
      <w:r w:rsidR="001D1F4A">
        <w:t xml:space="preserve">A </w:t>
      </w:r>
      <w:r w:rsidR="00F16978">
        <w:t>transmission pricing framework for sapp</w:t>
      </w:r>
      <w:bookmarkEnd w:id="84"/>
    </w:p>
    <w:p w14:paraId="11991253" w14:textId="12D547C0" w:rsidR="00DB75EB" w:rsidRDefault="00DB75EB" w:rsidP="00DB75EB">
      <w:r w:rsidRPr="00130346">
        <w:t>The</w:t>
      </w:r>
      <w:r w:rsidR="00892125">
        <w:t xml:space="preserve"> </w:t>
      </w:r>
      <w:r w:rsidR="00892125" w:rsidRPr="00130346">
        <w:t>Zimbabwe</w:t>
      </w:r>
      <w:r w:rsidR="00892125">
        <w:t>, Zambia, Botswana, and Namibia</w:t>
      </w:r>
      <w:r w:rsidRPr="00130346">
        <w:t xml:space="preserve"> </w:t>
      </w:r>
      <w:r w:rsidR="00892125">
        <w:t>(</w:t>
      </w:r>
      <w:r w:rsidRPr="00130346">
        <w:t>ZIZABONA</w:t>
      </w:r>
      <w:r w:rsidR="00892125">
        <w:t>)</w:t>
      </w:r>
      <w:r w:rsidRPr="00130346">
        <w:t xml:space="preserve"> transmission line</w:t>
      </w:r>
      <w:r w:rsidR="001064BA">
        <w:t>,</w:t>
      </w:r>
      <w:r w:rsidRPr="00130346">
        <w:t xml:space="preserve"> </w:t>
      </w:r>
      <w:r w:rsidR="00F16978">
        <w:t>when completed</w:t>
      </w:r>
      <w:r w:rsidR="001064BA">
        <w:t xml:space="preserve">, </w:t>
      </w:r>
      <w:r>
        <w:t xml:space="preserve">will </w:t>
      </w:r>
      <w:r w:rsidR="00892125">
        <w:t xml:space="preserve">directly link utilities in </w:t>
      </w:r>
      <w:r w:rsidRPr="00130346">
        <w:t>the four Southern Africa</w:t>
      </w:r>
      <w:r w:rsidR="00892125">
        <w:t>n countries and</w:t>
      </w:r>
      <w:r>
        <w:t xml:space="preserve"> serve as a backbone transmission interlinkage to support increased trade between the countries and more broadly </w:t>
      </w:r>
      <w:r w:rsidR="00892125">
        <w:t xml:space="preserve">between SADC </w:t>
      </w:r>
      <w:r w:rsidR="001064BA">
        <w:t>members.</w:t>
      </w:r>
      <w:r w:rsidR="00892125">
        <w:t xml:space="preserve"> </w:t>
      </w:r>
      <w:r>
        <w:t xml:space="preserve"> </w:t>
      </w:r>
    </w:p>
    <w:p w14:paraId="2E7752A9" w14:textId="3DA6184E" w:rsidR="00892125" w:rsidRDefault="00DB75EB" w:rsidP="00DB75EB">
      <w:r>
        <w:t>ZIZABONA a priority project under the African Development Bank’s (AfDB) r</w:t>
      </w:r>
      <w:r w:rsidR="001064BA">
        <w:t>egional integration strategy,</w:t>
      </w:r>
      <w:r>
        <w:t xml:space="preserve"> is a segment of the PIDA (</w:t>
      </w:r>
      <w:r w:rsidRPr="00F15B30">
        <w:t>Programme for Infrastructure Development in Africa</w:t>
      </w:r>
      <w:r w:rsidR="00892125">
        <w:t xml:space="preserve">) interconnection corridor, </w:t>
      </w:r>
      <w:r>
        <w:t>and is sponsored by ZESA Holding (Zimbabwe), ZESCO (Zambia), BPC (Botswana), NamPower (Namibia) and the Southern African Power Pool (SAPP)</w:t>
      </w:r>
      <w:r>
        <w:rPr>
          <w:rStyle w:val="FootnoteReference"/>
        </w:rPr>
        <w:footnoteReference w:id="17"/>
      </w:r>
      <w:r>
        <w:t xml:space="preserve"> (see </w:t>
      </w:r>
      <w:r>
        <w:fldChar w:fldCharType="begin"/>
      </w:r>
      <w:r>
        <w:instrText xml:space="preserve"> REF _Ref506786068 \h </w:instrText>
      </w:r>
      <w:r>
        <w:fldChar w:fldCharType="separate"/>
      </w:r>
      <w:r>
        <w:t xml:space="preserve">Figure </w:t>
      </w:r>
      <w:r>
        <w:rPr>
          <w:noProof/>
        </w:rPr>
        <w:t>5</w:t>
      </w:r>
      <w:r>
        <w:fldChar w:fldCharType="end"/>
      </w:r>
      <w:r>
        <w:t xml:space="preserve">). </w:t>
      </w:r>
      <w:r>
        <w:fldChar w:fldCharType="begin"/>
      </w:r>
      <w:r>
        <w:instrText xml:space="preserve"> REF _Ref506786224 \h </w:instrText>
      </w:r>
      <w:r>
        <w:fldChar w:fldCharType="separate"/>
      </w:r>
      <w:r>
        <w:t xml:space="preserve">Table </w:t>
      </w:r>
      <w:r>
        <w:rPr>
          <w:noProof/>
        </w:rPr>
        <w:t>1</w:t>
      </w:r>
      <w:r>
        <w:fldChar w:fldCharType="end"/>
      </w:r>
      <w:r>
        <w:t xml:space="preserve"> provides a rough estimate of the capital investment needed for the interconnection.</w:t>
      </w:r>
    </w:p>
    <w:p w14:paraId="4179FF96" w14:textId="77777777" w:rsidR="00DB75EB" w:rsidRPr="00F15B30" w:rsidRDefault="00DB75EB" w:rsidP="00DB75EB">
      <w:pPr>
        <w:pStyle w:val="Caption"/>
      </w:pPr>
      <w:bookmarkStart w:id="85" w:name="_Ref506786224"/>
      <w:r>
        <w:t xml:space="preserve">Table </w:t>
      </w:r>
      <w:r w:rsidR="00C6623D">
        <w:rPr>
          <w:noProof/>
        </w:rPr>
        <w:fldChar w:fldCharType="begin"/>
      </w:r>
      <w:r w:rsidR="00C6623D">
        <w:rPr>
          <w:noProof/>
        </w:rPr>
        <w:instrText xml:space="preserve"> SEQ Table \* ARABIC </w:instrText>
      </w:r>
      <w:r w:rsidR="00C6623D">
        <w:rPr>
          <w:noProof/>
        </w:rPr>
        <w:fldChar w:fldCharType="separate"/>
      </w:r>
      <w:r>
        <w:rPr>
          <w:noProof/>
        </w:rPr>
        <w:t>1</w:t>
      </w:r>
      <w:r w:rsidR="00C6623D">
        <w:rPr>
          <w:noProof/>
        </w:rPr>
        <w:fldChar w:fldCharType="end"/>
      </w:r>
      <w:bookmarkEnd w:id="85"/>
      <w:r>
        <w:t>: ZIZABONA Capital Investment Costs</w:t>
      </w:r>
    </w:p>
    <w:p w14:paraId="004EED72" w14:textId="77777777" w:rsidR="00DB75EB" w:rsidRDefault="00DB75EB" w:rsidP="00DB75EB">
      <w:r>
        <w:rPr>
          <w:noProof/>
          <w:lang w:eastAsia="en-US"/>
        </w:rPr>
        <w:drawing>
          <wp:inline distT="0" distB="0" distL="0" distR="0" wp14:anchorId="233AAFF2" wp14:editId="1D7CA24B">
            <wp:extent cx="5943600" cy="2382520"/>
            <wp:effectExtent l="0" t="0" r="0" b="5080"/>
            <wp:docPr id="215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6"/>
                    <pic:cNvPicPr>
                      <a:picLocks noChangeAspect="1" noChangeArrowheads="1"/>
                    </pic:cNvPicPr>
                  </pic:nvPicPr>
                  <pic:blipFill>
                    <a:blip r:embed="rId27"/>
                    <a:srcRect/>
                    <a:stretch>
                      <a:fillRect/>
                    </a:stretch>
                  </pic:blipFill>
                  <pic:spPr bwMode="auto">
                    <a:xfrm>
                      <a:off x="0" y="0"/>
                      <a:ext cx="5943600" cy="2382520"/>
                    </a:xfrm>
                    <a:prstGeom prst="rect">
                      <a:avLst/>
                    </a:prstGeom>
                    <a:solidFill>
                      <a:schemeClr val="bg1">
                        <a:lumMod val="85000"/>
                      </a:schemeClr>
                    </a:solidFill>
                    <a:ln>
                      <a:noFill/>
                    </a:ln>
                    <a:effectLst/>
                  </pic:spPr>
                </pic:pic>
              </a:graphicData>
            </a:graphic>
          </wp:inline>
        </w:drawing>
      </w:r>
    </w:p>
    <w:p w14:paraId="38608EB0" w14:textId="50695B48" w:rsidR="00BF038F" w:rsidRDefault="00DB75EB" w:rsidP="00DB75EB">
      <w:pPr>
        <w:rPr>
          <w:i/>
          <w:iCs/>
          <w:sz w:val="18"/>
          <w:szCs w:val="18"/>
        </w:rPr>
      </w:pPr>
      <w:r w:rsidRPr="004E3ADB">
        <w:rPr>
          <w:i/>
          <w:iCs/>
          <w:sz w:val="18"/>
          <w:szCs w:val="18"/>
        </w:rPr>
        <w:t>Source: Deloitte</w:t>
      </w:r>
      <w:r>
        <w:rPr>
          <w:i/>
          <w:iCs/>
          <w:sz w:val="18"/>
          <w:szCs w:val="18"/>
        </w:rPr>
        <w:t xml:space="preserve"> discussions with stakeholders</w:t>
      </w:r>
    </w:p>
    <w:p w14:paraId="74DFCBDE" w14:textId="3DCDDDA2" w:rsidR="001D1F4A" w:rsidRDefault="001D1F4A" w:rsidP="00DB75EB">
      <w:pPr>
        <w:rPr>
          <w:i/>
          <w:iCs/>
          <w:sz w:val="18"/>
          <w:szCs w:val="18"/>
        </w:rPr>
      </w:pPr>
    </w:p>
    <w:p w14:paraId="1DBC5610" w14:textId="710D5061" w:rsidR="001D1F4A" w:rsidRDefault="001D1F4A" w:rsidP="00DB75EB">
      <w:pPr>
        <w:rPr>
          <w:i/>
          <w:iCs/>
          <w:sz w:val="18"/>
          <w:szCs w:val="18"/>
        </w:rPr>
      </w:pPr>
    </w:p>
    <w:p w14:paraId="26D18211" w14:textId="2C34DE1B" w:rsidR="001D1F4A" w:rsidRDefault="001D1F4A" w:rsidP="00DB75EB">
      <w:pPr>
        <w:rPr>
          <w:i/>
          <w:iCs/>
          <w:sz w:val="18"/>
          <w:szCs w:val="18"/>
        </w:rPr>
      </w:pPr>
    </w:p>
    <w:p w14:paraId="03397027" w14:textId="20DB3775" w:rsidR="001D1F4A" w:rsidRDefault="001D1F4A" w:rsidP="00DB75EB">
      <w:pPr>
        <w:rPr>
          <w:i/>
          <w:iCs/>
          <w:sz w:val="18"/>
          <w:szCs w:val="18"/>
        </w:rPr>
      </w:pPr>
    </w:p>
    <w:p w14:paraId="14EB5807" w14:textId="4941711E" w:rsidR="001D1F4A" w:rsidRDefault="001D1F4A" w:rsidP="00DB75EB">
      <w:pPr>
        <w:rPr>
          <w:i/>
          <w:iCs/>
          <w:sz w:val="18"/>
          <w:szCs w:val="18"/>
        </w:rPr>
      </w:pPr>
    </w:p>
    <w:p w14:paraId="6E9D5ADF" w14:textId="00A05BC0" w:rsidR="001D1F4A" w:rsidRDefault="001D1F4A" w:rsidP="00DB75EB">
      <w:pPr>
        <w:rPr>
          <w:i/>
          <w:iCs/>
          <w:sz w:val="18"/>
          <w:szCs w:val="18"/>
        </w:rPr>
      </w:pPr>
    </w:p>
    <w:p w14:paraId="22EC88AD" w14:textId="5B978835" w:rsidR="001D1F4A" w:rsidRDefault="001D1F4A" w:rsidP="00DB75EB">
      <w:pPr>
        <w:rPr>
          <w:i/>
          <w:iCs/>
          <w:sz w:val="18"/>
          <w:szCs w:val="18"/>
        </w:rPr>
      </w:pPr>
    </w:p>
    <w:p w14:paraId="5F514214" w14:textId="69355905" w:rsidR="001D1F4A" w:rsidRDefault="001D1F4A" w:rsidP="00DB75EB">
      <w:pPr>
        <w:rPr>
          <w:i/>
          <w:iCs/>
          <w:sz w:val="18"/>
          <w:szCs w:val="18"/>
        </w:rPr>
      </w:pPr>
    </w:p>
    <w:p w14:paraId="3EA51060" w14:textId="4D7DC500" w:rsidR="001D1F4A" w:rsidRDefault="001D1F4A" w:rsidP="00DB75EB">
      <w:pPr>
        <w:rPr>
          <w:i/>
          <w:iCs/>
          <w:sz w:val="18"/>
          <w:szCs w:val="18"/>
        </w:rPr>
      </w:pPr>
    </w:p>
    <w:p w14:paraId="6CFB80DE" w14:textId="516BDED3" w:rsidR="001D1F4A" w:rsidRDefault="001D1F4A" w:rsidP="00DB75EB">
      <w:pPr>
        <w:rPr>
          <w:i/>
          <w:iCs/>
          <w:sz w:val="18"/>
          <w:szCs w:val="18"/>
        </w:rPr>
      </w:pPr>
    </w:p>
    <w:p w14:paraId="32503725" w14:textId="77777777" w:rsidR="001D1F4A" w:rsidRPr="004E3ADB" w:rsidRDefault="001D1F4A" w:rsidP="00DB75EB">
      <w:pPr>
        <w:rPr>
          <w:i/>
          <w:iCs/>
          <w:sz w:val="18"/>
          <w:szCs w:val="18"/>
        </w:rPr>
      </w:pPr>
    </w:p>
    <w:p w14:paraId="358AE60C" w14:textId="77777777" w:rsidR="00DB75EB" w:rsidRDefault="00DB75EB" w:rsidP="00DB75EB">
      <w:pPr>
        <w:pStyle w:val="Caption"/>
      </w:pPr>
      <w:bookmarkStart w:id="86" w:name="_Ref506786068"/>
      <w:bookmarkStart w:id="87" w:name="_Toc507160826"/>
      <w:r>
        <w:lastRenderedPageBreak/>
        <w:t xml:space="preserve">Figure </w:t>
      </w:r>
      <w:r w:rsidR="00C6623D">
        <w:rPr>
          <w:noProof/>
        </w:rPr>
        <w:fldChar w:fldCharType="begin"/>
      </w:r>
      <w:r w:rsidR="00C6623D">
        <w:rPr>
          <w:noProof/>
        </w:rPr>
        <w:instrText xml:space="preserve"> SEQ Figure \* ARABIC </w:instrText>
      </w:r>
      <w:r w:rsidR="00C6623D">
        <w:rPr>
          <w:noProof/>
        </w:rPr>
        <w:fldChar w:fldCharType="separate"/>
      </w:r>
      <w:r>
        <w:rPr>
          <w:noProof/>
        </w:rPr>
        <w:t>5</w:t>
      </w:r>
      <w:r w:rsidR="00C6623D">
        <w:rPr>
          <w:noProof/>
        </w:rPr>
        <w:fldChar w:fldCharType="end"/>
      </w:r>
      <w:bookmarkEnd w:id="86"/>
      <w:r>
        <w:t>: ZIZABONA Transmission Interconnection</w:t>
      </w:r>
      <w:bookmarkEnd w:id="87"/>
    </w:p>
    <w:p w14:paraId="2CA82BF5" w14:textId="77777777" w:rsidR="00DB75EB" w:rsidRDefault="00DB75EB" w:rsidP="00892125">
      <w:pPr>
        <w:jc w:val="center"/>
      </w:pPr>
      <w:r w:rsidRPr="00001816">
        <w:rPr>
          <w:noProof/>
          <w:lang w:eastAsia="en-US"/>
        </w:rPr>
        <w:drawing>
          <wp:inline distT="0" distB="0" distL="0" distR="0" wp14:anchorId="516AE6BF" wp14:editId="73D8F127">
            <wp:extent cx="5486400" cy="2325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59967" cy="2356575"/>
                    </a:xfrm>
                    <a:prstGeom prst="rect">
                      <a:avLst/>
                    </a:prstGeom>
                    <a:noFill/>
                    <a:ln>
                      <a:noFill/>
                    </a:ln>
                  </pic:spPr>
                </pic:pic>
              </a:graphicData>
            </a:graphic>
          </wp:inline>
        </w:drawing>
      </w:r>
    </w:p>
    <w:p w14:paraId="4AAB286D" w14:textId="77777777" w:rsidR="00DB75EB" w:rsidRPr="00C03B67" w:rsidRDefault="00DB75EB" w:rsidP="00DB75EB">
      <w:pPr>
        <w:rPr>
          <w:i/>
          <w:iCs/>
          <w:sz w:val="18"/>
          <w:szCs w:val="18"/>
        </w:rPr>
      </w:pPr>
      <w:bookmarkStart w:id="88" w:name="_Toc506918917"/>
      <w:r w:rsidRPr="00C03B67">
        <w:rPr>
          <w:i/>
          <w:iCs/>
          <w:sz w:val="18"/>
          <w:szCs w:val="18"/>
        </w:rPr>
        <w:t>Source: Deloitte discussions with stakeholders</w:t>
      </w:r>
      <w:bookmarkEnd w:id="88"/>
    </w:p>
    <w:p w14:paraId="4F777AEC" w14:textId="071421D1" w:rsidR="00B668C8" w:rsidRDefault="00B668C8" w:rsidP="007407EA">
      <w:r>
        <w:t xml:space="preserve">The ZIZABONA line has the potential to support multiple power trading </w:t>
      </w:r>
      <w:r w:rsidR="00AE1C46">
        <w:t xml:space="preserve">regimes or </w:t>
      </w:r>
      <w:r w:rsidR="006B1A51">
        <w:t>portfolios as approved by SAPP, including:</w:t>
      </w:r>
    </w:p>
    <w:p w14:paraId="2F96388D" w14:textId="35577BE4" w:rsidR="00B668C8" w:rsidRDefault="00B668C8" w:rsidP="00341ADF">
      <w:pPr>
        <w:pStyle w:val="ListParagraph"/>
        <w:numPr>
          <w:ilvl w:val="0"/>
          <w:numId w:val="10"/>
        </w:numPr>
      </w:pPr>
      <w:r>
        <w:t>Negotiated long-term bilateral trad</w:t>
      </w:r>
      <w:r w:rsidR="00341ADF">
        <w:t>ing</w:t>
      </w:r>
      <w:r>
        <w:t xml:space="preserve"> between the interconnected countries with appropriate wheeling charges paid to transit countries</w:t>
      </w:r>
      <w:r w:rsidR="00341ADF">
        <w:t>;</w:t>
      </w:r>
    </w:p>
    <w:p w14:paraId="4B26D34E" w14:textId="723F04CE" w:rsidR="007A7FB4" w:rsidRDefault="007A7FB4" w:rsidP="00341ADF">
      <w:pPr>
        <w:pStyle w:val="ListParagraph"/>
        <w:numPr>
          <w:ilvl w:val="0"/>
          <w:numId w:val="10"/>
        </w:numPr>
      </w:pPr>
      <w:r>
        <w:t>Over-the-counter (OTC) trad</w:t>
      </w:r>
      <w:r w:rsidR="00341ADF">
        <w:t>ing</w:t>
      </w:r>
      <w:r>
        <w:t xml:space="preserve"> between countries to meet short-term demand and supply balance</w:t>
      </w:r>
      <w:r w:rsidR="00AE1C46">
        <w:t xml:space="preserve"> with SAPP providing market operator, settlement and clearance functions</w:t>
      </w:r>
      <w:r w:rsidR="00341ADF">
        <w:t>;</w:t>
      </w:r>
    </w:p>
    <w:p w14:paraId="5608B23C" w14:textId="1C5DD07A" w:rsidR="00B668C8" w:rsidRDefault="00B668C8" w:rsidP="00341ADF">
      <w:pPr>
        <w:pStyle w:val="ListParagraph"/>
        <w:numPr>
          <w:ilvl w:val="0"/>
          <w:numId w:val="10"/>
        </w:numPr>
      </w:pPr>
      <w:r>
        <w:t xml:space="preserve">Day-ahead </w:t>
      </w:r>
      <w:r w:rsidR="007A7FB4">
        <w:t xml:space="preserve">market (DAM) </w:t>
      </w:r>
      <w:r>
        <w:t xml:space="preserve">trading between countries </w:t>
      </w:r>
      <w:r w:rsidR="00712772">
        <w:t>with tr</w:t>
      </w:r>
      <w:r w:rsidR="00712772" w:rsidRPr="00712772">
        <w:t>ading concluded daily for delivery next day</w:t>
      </w:r>
      <w:r w:rsidR="00712772">
        <w:t xml:space="preserve">, with SAPP providing market operator, settlement and </w:t>
      </w:r>
      <w:r w:rsidR="00AE1C46">
        <w:t>clearance functions</w:t>
      </w:r>
      <w:r w:rsidR="00341ADF">
        <w:t>;</w:t>
      </w:r>
    </w:p>
    <w:p w14:paraId="588E6810" w14:textId="59990C89" w:rsidR="007A7FB4" w:rsidRDefault="007A7FB4" w:rsidP="00341ADF">
      <w:pPr>
        <w:pStyle w:val="ListParagraph"/>
        <w:numPr>
          <w:ilvl w:val="0"/>
          <w:numId w:val="10"/>
        </w:numPr>
      </w:pPr>
      <w:r>
        <w:t>Post Day-ahead market (PDAM) trading between countries with tr</w:t>
      </w:r>
      <w:r w:rsidRPr="00712772">
        <w:t xml:space="preserve">ading concluded </w:t>
      </w:r>
      <w:r>
        <w:t>by 4 PM on the trading day, with SAPP providing market operator, settlement and clearance functions</w:t>
      </w:r>
      <w:r w:rsidR="00341ADF">
        <w:t>’ and</w:t>
      </w:r>
    </w:p>
    <w:p w14:paraId="3F95E911" w14:textId="5960E0D0" w:rsidR="00AE1C46" w:rsidRDefault="00AE1C46" w:rsidP="00341ADF">
      <w:pPr>
        <w:pStyle w:val="ListParagraph"/>
        <w:numPr>
          <w:ilvl w:val="0"/>
          <w:numId w:val="10"/>
        </w:numPr>
      </w:pPr>
      <w:r>
        <w:t>Allow</w:t>
      </w:r>
      <w:r w:rsidR="00341ADF">
        <w:t>ance of</w:t>
      </w:r>
      <w:r>
        <w:t xml:space="preserve"> </w:t>
      </w:r>
      <w:r w:rsidR="00F16978">
        <w:t xml:space="preserve">additional new </w:t>
      </w:r>
      <w:r>
        <w:t xml:space="preserve">generators to connect to the ZIZABONA </w:t>
      </w:r>
      <w:r w:rsidR="00F16978">
        <w:t>line to participate in the SAPP market</w:t>
      </w:r>
      <w:r w:rsidR="00341ADF">
        <w:t>.</w:t>
      </w:r>
    </w:p>
    <w:p w14:paraId="3ACE50D1" w14:textId="5049D2EF" w:rsidR="00F16978" w:rsidRDefault="00AE1C46" w:rsidP="007407EA">
      <w:r>
        <w:t xml:space="preserve">The transmission pricing framework </w:t>
      </w:r>
      <w:r w:rsidR="00F16978">
        <w:t xml:space="preserve">for the ZIZABONA line </w:t>
      </w:r>
      <w:r>
        <w:t xml:space="preserve">will have to be applicable to each of the above trading portfolios. The tariff also will have to recover the investment in the transmission line. </w:t>
      </w:r>
      <w:r w:rsidR="00F16978">
        <w:t xml:space="preserve">In effect, the transmission pricing framework for the ZIZABONA line will have to satisfy SAPPs </w:t>
      </w:r>
      <w:r w:rsidR="00F16978" w:rsidRPr="00AE1C46">
        <w:t>guiding principles for new tariff guidelines</w:t>
      </w:r>
      <w:r w:rsidR="00F16978">
        <w:t xml:space="preserve"> (see Section 5.3).</w:t>
      </w:r>
    </w:p>
    <w:p w14:paraId="00E7EB16" w14:textId="77777777" w:rsidR="005E149A" w:rsidRDefault="00F16978" w:rsidP="007407EA">
      <w:r>
        <w:t xml:space="preserve">The pilot countries have not </w:t>
      </w:r>
      <w:r w:rsidR="00755AA8">
        <w:t xml:space="preserve">yet </w:t>
      </w:r>
      <w:r>
        <w:t xml:space="preserve">developed a pricing framework for the ZIZABONA line and will be seeking guidance from SAPP. </w:t>
      </w:r>
    </w:p>
    <w:p w14:paraId="5FF4AC67" w14:textId="369DB6DD" w:rsidR="00DB75EB" w:rsidRDefault="00B668C8" w:rsidP="007407EA">
      <w:r w:rsidRPr="00130346">
        <w:t>The</w:t>
      </w:r>
      <w:r w:rsidR="008E414B">
        <w:t xml:space="preserve"> Deloitte</w:t>
      </w:r>
      <w:r w:rsidRPr="00130346">
        <w:t xml:space="preserve"> Team </w:t>
      </w:r>
      <w:r w:rsidR="00755AA8">
        <w:t>recommends that the pilot countries and SAPP u</w:t>
      </w:r>
      <w:r w:rsidR="006B1A51">
        <w:t>se</w:t>
      </w:r>
      <w:r w:rsidR="00755AA8">
        <w:t xml:space="preserve"> the </w:t>
      </w:r>
      <w:r>
        <w:t xml:space="preserve">ZIZABONA </w:t>
      </w:r>
      <w:r w:rsidR="00F16978">
        <w:t xml:space="preserve">cross-border </w:t>
      </w:r>
      <w:r>
        <w:t xml:space="preserve">transmission line </w:t>
      </w:r>
      <w:r w:rsidRPr="00130346">
        <w:t xml:space="preserve">as an example </w:t>
      </w:r>
      <w:r w:rsidR="006B1A51">
        <w:t>on which to base</w:t>
      </w:r>
      <w:r w:rsidRPr="00130346">
        <w:t xml:space="preserve"> </w:t>
      </w:r>
      <w:r w:rsidR="00755AA8">
        <w:t>develop</w:t>
      </w:r>
      <w:r w:rsidR="006B1A51">
        <w:t>ment of</w:t>
      </w:r>
      <w:r w:rsidRPr="00130346">
        <w:t xml:space="preserve"> </w:t>
      </w:r>
      <w:r w:rsidR="00755AA8">
        <w:t xml:space="preserve">a </w:t>
      </w:r>
      <w:r w:rsidRPr="00130346">
        <w:t>transmission pricing framework</w:t>
      </w:r>
      <w:r w:rsidR="00F16978">
        <w:t xml:space="preserve">, which will </w:t>
      </w:r>
      <w:r w:rsidR="006B1A51">
        <w:t xml:space="preserve">be more broadly </w:t>
      </w:r>
      <w:r w:rsidR="00F16978">
        <w:t>applicable under SAPP to all member countries and utilities.</w:t>
      </w:r>
    </w:p>
    <w:p w14:paraId="073BADC5" w14:textId="080F2F26" w:rsidR="007407EA" w:rsidRDefault="001B611D" w:rsidP="00A8145E">
      <w:pPr>
        <w:pStyle w:val="Heading1"/>
      </w:pPr>
      <w:bookmarkStart w:id="89" w:name="_Toc509394604"/>
      <w:bookmarkStart w:id="90" w:name="_Toc509394605"/>
      <w:bookmarkStart w:id="91" w:name="_Toc509394606"/>
      <w:bookmarkStart w:id="92" w:name="_Toc509394607"/>
      <w:bookmarkStart w:id="93" w:name="_Toc509394608"/>
      <w:bookmarkStart w:id="94" w:name="_Toc509394609"/>
      <w:bookmarkStart w:id="95" w:name="_Toc509394089"/>
      <w:bookmarkStart w:id="96" w:name="_Toc509394610"/>
      <w:bookmarkStart w:id="97" w:name="_Toc509394090"/>
      <w:bookmarkStart w:id="98" w:name="_Toc509394611"/>
      <w:bookmarkStart w:id="99" w:name="_Toc509394091"/>
      <w:bookmarkStart w:id="100" w:name="_Toc509394612"/>
      <w:bookmarkStart w:id="101" w:name="_Toc509394092"/>
      <w:bookmarkStart w:id="102" w:name="_Toc509394613"/>
      <w:bookmarkStart w:id="103" w:name="_Toc509394093"/>
      <w:bookmarkStart w:id="104" w:name="_Toc509394614"/>
      <w:bookmarkStart w:id="105" w:name="_Toc509394094"/>
      <w:bookmarkStart w:id="106" w:name="_Toc509394615"/>
      <w:bookmarkStart w:id="107" w:name="_Toc509394095"/>
      <w:bookmarkStart w:id="108" w:name="_Toc509394616"/>
      <w:bookmarkStart w:id="109" w:name="_Toc509394096"/>
      <w:bookmarkStart w:id="110" w:name="_Toc509394617"/>
      <w:bookmarkStart w:id="111" w:name="_Toc509394097"/>
      <w:bookmarkStart w:id="112" w:name="_Toc509394618"/>
      <w:bookmarkStart w:id="113" w:name="_Toc509394098"/>
      <w:bookmarkStart w:id="114" w:name="_Toc509394619"/>
      <w:bookmarkStart w:id="115" w:name="_Toc509394099"/>
      <w:bookmarkStart w:id="116" w:name="_Toc509394620"/>
      <w:bookmarkStart w:id="117" w:name="_Toc509394100"/>
      <w:bookmarkStart w:id="118" w:name="_Toc509394621"/>
      <w:bookmarkStart w:id="119" w:name="_Toc509394101"/>
      <w:bookmarkStart w:id="120" w:name="_Toc509394622"/>
      <w:bookmarkStart w:id="121" w:name="_Toc509394102"/>
      <w:bookmarkStart w:id="122" w:name="_Toc509394623"/>
      <w:bookmarkStart w:id="123" w:name="_Toc509394103"/>
      <w:bookmarkStart w:id="124" w:name="_Toc509394624"/>
      <w:bookmarkStart w:id="125" w:name="_Toc509394104"/>
      <w:bookmarkStart w:id="126" w:name="_Toc509394625"/>
      <w:bookmarkStart w:id="127" w:name="_Toc509394105"/>
      <w:bookmarkStart w:id="128" w:name="_Toc509394626"/>
      <w:bookmarkStart w:id="129" w:name="_Toc509394106"/>
      <w:bookmarkStart w:id="130" w:name="_Toc509394627"/>
      <w:bookmarkStart w:id="131" w:name="_Toc509394107"/>
      <w:bookmarkStart w:id="132" w:name="_Toc509394628"/>
      <w:bookmarkStart w:id="133" w:name="_Toc509394108"/>
      <w:bookmarkStart w:id="134" w:name="_Toc509394629"/>
      <w:bookmarkStart w:id="135" w:name="_Toc509394109"/>
      <w:bookmarkStart w:id="136" w:name="_Toc509394630"/>
      <w:bookmarkStart w:id="137" w:name="_Toc509394110"/>
      <w:bookmarkStart w:id="138" w:name="_Toc509394631"/>
      <w:bookmarkStart w:id="139" w:name="_Toc509394111"/>
      <w:bookmarkStart w:id="140" w:name="_Toc509394632"/>
      <w:bookmarkStart w:id="141" w:name="_Toc506918931"/>
      <w:bookmarkStart w:id="142" w:name="_Toc52401410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lastRenderedPageBreak/>
        <w:t>Next S</w:t>
      </w:r>
      <w:r w:rsidR="007407EA">
        <w:t>tep</w:t>
      </w:r>
      <w:r w:rsidR="00A8145E">
        <w:t>s</w:t>
      </w:r>
      <w:r w:rsidR="007407EA">
        <w:t xml:space="preserve"> in </w:t>
      </w:r>
      <w:r w:rsidR="00A8145E">
        <w:t xml:space="preserve">the </w:t>
      </w:r>
      <w:r>
        <w:t>D</w:t>
      </w:r>
      <w:r w:rsidR="00A8145E">
        <w:t>evelopment of Transmission Tariff M</w:t>
      </w:r>
      <w:r w:rsidR="007407EA">
        <w:t>echanisms for Southern Africa</w:t>
      </w:r>
      <w:bookmarkEnd w:id="141"/>
      <w:bookmarkEnd w:id="142"/>
    </w:p>
    <w:p w14:paraId="17861976" w14:textId="3681817D" w:rsidR="007407EA" w:rsidRDefault="007407EA" w:rsidP="007407EA">
      <w:r>
        <w:t xml:space="preserve">A transmission tariff methodology for the Southern Africa Region </w:t>
      </w:r>
      <w:r w:rsidR="00582439">
        <w:t>must accomplish</w:t>
      </w:r>
      <w:r w:rsidR="00892125">
        <w:t xml:space="preserve"> the SAPP</w:t>
      </w:r>
      <w:r>
        <w:t xml:space="preserve"> principal objectives </w:t>
      </w:r>
      <w:r w:rsidR="00892125">
        <w:t>described in Section 5.3</w:t>
      </w:r>
      <w:r w:rsidR="002C54E3">
        <w:t>.</w:t>
      </w:r>
      <w:r>
        <w:t xml:space="preserve"> </w:t>
      </w:r>
      <w:r w:rsidR="00582439">
        <w:t xml:space="preserve">Simplicity of application must also be a prime consideration. </w:t>
      </w:r>
      <w:r>
        <w:t xml:space="preserve">Beyond that, there </w:t>
      </w:r>
      <w:r w:rsidR="006B1A51">
        <w:t>are multiple components to consider</w:t>
      </w:r>
      <w:r w:rsidR="002C54E3">
        <w:t xml:space="preserve"> given the various</w:t>
      </w:r>
      <w:r>
        <w:t xml:space="preserve"> objectives of market participants </w:t>
      </w:r>
      <w:r w:rsidR="002C54E3">
        <w:t>and stakeholders</w:t>
      </w:r>
      <w:r>
        <w:t xml:space="preserve">. </w:t>
      </w:r>
      <w:r w:rsidR="0070253D">
        <w:fldChar w:fldCharType="begin"/>
      </w:r>
      <w:r w:rsidR="0070253D">
        <w:instrText xml:space="preserve"> REF _Ref506911877 </w:instrText>
      </w:r>
      <w:r w:rsidR="0070253D">
        <w:fldChar w:fldCharType="separate"/>
      </w:r>
      <w:r w:rsidR="00DF7F9C">
        <w:t xml:space="preserve">Figure </w:t>
      </w:r>
      <w:r w:rsidR="00DF7F9C">
        <w:rPr>
          <w:noProof/>
        </w:rPr>
        <w:t>6</w:t>
      </w:r>
      <w:r w:rsidR="0070253D">
        <w:rPr>
          <w:noProof/>
        </w:rPr>
        <w:fldChar w:fldCharType="end"/>
      </w:r>
      <w:r>
        <w:t xml:space="preserve"> below provides an illustrative comparison of </w:t>
      </w:r>
      <w:r w:rsidRPr="00F97011">
        <w:t>transmission tariff methodologies with respect to economic efficiency and degree of complexity</w:t>
      </w:r>
      <w:r>
        <w:t>.</w:t>
      </w:r>
    </w:p>
    <w:p w14:paraId="0E8B94DE" w14:textId="398EA2CE" w:rsidR="007407EA" w:rsidRDefault="007407EA" w:rsidP="00BD6DCE">
      <w:pPr>
        <w:pStyle w:val="Caption"/>
      </w:pPr>
      <w:bookmarkStart w:id="143" w:name="_Ref506911877"/>
      <w:bookmarkStart w:id="144" w:name="_Toc507160827"/>
      <w:r>
        <w:t xml:space="preserve">Figure </w:t>
      </w:r>
      <w:r w:rsidR="00C6623D">
        <w:rPr>
          <w:noProof/>
        </w:rPr>
        <w:fldChar w:fldCharType="begin"/>
      </w:r>
      <w:r w:rsidR="00C6623D">
        <w:rPr>
          <w:noProof/>
        </w:rPr>
        <w:instrText xml:space="preserve"> SEQ Figure \* ARABIC </w:instrText>
      </w:r>
      <w:r w:rsidR="00C6623D">
        <w:rPr>
          <w:noProof/>
        </w:rPr>
        <w:fldChar w:fldCharType="separate"/>
      </w:r>
      <w:r w:rsidR="00DF7F9C">
        <w:rPr>
          <w:noProof/>
        </w:rPr>
        <w:t>6</w:t>
      </w:r>
      <w:r w:rsidR="00C6623D">
        <w:rPr>
          <w:noProof/>
        </w:rPr>
        <w:fldChar w:fldCharType="end"/>
      </w:r>
      <w:bookmarkEnd w:id="143"/>
      <w:r>
        <w:t xml:space="preserve">: Economic Efficiency of Tariff Methodology </w:t>
      </w:r>
      <w:r w:rsidR="001B611D">
        <w:t>vs</w:t>
      </w:r>
      <w:r>
        <w:t>. Complexity of the Approach</w:t>
      </w:r>
      <w:bookmarkEnd w:id="144"/>
    </w:p>
    <w:p w14:paraId="1BDAC9B0" w14:textId="77777777" w:rsidR="007407EA" w:rsidRPr="005E4EFF" w:rsidRDefault="007407EA" w:rsidP="00BD6DCE">
      <w:pPr>
        <w:jc w:val="center"/>
      </w:pPr>
      <w:r w:rsidRPr="0019311B">
        <w:rPr>
          <w:noProof/>
          <w:lang w:eastAsia="en-US"/>
        </w:rPr>
        <w:drawing>
          <wp:inline distT="0" distB="0" distL="0" distR="0" wp14:anchorId="60F96ADF" wp14:editId="5B85D95B">
            <wp:extent cx="5554301" cy="289879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85221" cy="2914936"/>
                    </a:xfrm>
                    <a:prstGeom prst="rect">
                      <a:avLst/>
                    </a:prstGeom>
                  </pic:spPr>
                </pic:pic>
              </a:graphicData>
            </a:graphic>
          </wp:inline>
        </w:drawing>
      </w:r>
    </w:p>
    <w:p w14:paraId="337831E4" w14:textId="77777777" w:rsidR="007407EA" w:rsidRPr="00DE360F" w:rsidRDefault="007407EA" w:rsidP="007407EA">
      <w:pPr>
        <w:rPr>
          <w:i/>
          <w:iCs/>
          <w:sz w:val="18"/>
          <w:szCs w:val="18"/>
        </w:rPr>
      </w:pPr>
      <w:r w:rsidRPr="00DE360F">
        <w:rPr>
          <w:i/>
          <w:iCs/>
          <w:sz w:val="18"/>
          <w:szCs w:val="18"/>
        </w:rPr>
        <w:t>Source: Recommended Continental Transmission Tariff Methodology for Africa, Summary Report, EU Technical Assistance Facility (TAF) for the Sustainable Energy for All (SE4ALL) Initiative (East and Southern Africa)</w:t>
      </w:r>
    </w:p>
    <w:p w14:paraId="251EC036" w14:textId="066FE604" w:rsidR="007407EA" w:rsidRDefault="007407EA" w:rsidP="007407EA">
      <w:r>
        <w:t>The MW-Km (Load flow-based) transmission tariff approach</w:t>
      </w:r>
      <w:r w:rsidR="006743EA">
        <w:t>, which SAPP has used in the past,</w:t>
      </w:r>
      <w:r>
        <w:t xml:space="preserve"> has the advantage of meeting multiple objectives while providing economic locational signals to market participants and promoting competition. </w:t>
      </w:r>
      <w:r w:rsidR="00FB45B9">
        <w:t xml:space="preserve">However, as noted earlier, this methodology was found to be a hindrance to long-distance trade and did not adequately address congestion on </w:t>
      </w:r>
      <w:r w:rsidR="006B1A51">
        <w:t xml:space="preserve">the </w:t>
      </w:r>
      <w:r w:rsidR="00FB45B9">
        <w:t xml:space="preserve">lines. </w:t>
      </w:r>
      <w:r>
        <w:t xml:space="preserve">SAPP </w:t>
      </w:r>
      <w:r w:rsidR="007B786C">
        <w:t xml:space="preserve">is </w:t>
      </w:r>
      <w:r w:rsidR="00FB45B9">
        <w:t xml:space="preserve">thus </w:t>
      </w:r>
      <w:r w:rsidR="007B786C">
        <w:t xml:space="preserve">seeking to </w:t>
      </w:r>
      <w:r>
        <w:t xml:space="preserve">move </w:t>
      </w:r>
      <w:r w:rsidR="00FB45B9">
        <w:t xml:space="preserve">to an </w:t>
      </w:r>
      <w:r>
        <w:t xml:space="preserve">approach that combines the power flow MW-km and the Nodal </w:t>
      </w:r>
      <w:r w:rsidR="00FB45B9">
        <w:t xml:space="preserve">pricing </w:t>
      </w:r>
      <w:r>
        <w:t>method.</w:t>
      </w:r>
    </w:p>
    <w:p w14:paraId="6FDAB796" w14:textId="0E0473D7" w:rsidR="001851EB" w:rsidRDefault="005E149A" w:rsidP="007407EA">
      <w:r>
        <w:t>The</w:t>
      </w:r>
      <w:r w:rsidR="008E414B">
        <w:t xml:space="preserve"> Deloitte</w:t>
      </w:r>
      <w:r>
        <w:t xml:space="preserve"> Team </w:t>
      </w:r>
      <w:r w:rsidR="002A74E7">
        <w:t>recommend</w:t>
      </w:r>
      <w:r>
        <w:t>s</w:t>
      </w:r>
      <w:r w:rsidR="002A74E7">
        <w:t xml:space="preserve"> that SAPP </w:t>
      </w:r>
      <w:r w:rsidR="006B1A51">
        <w:t>base its decision on</w:t>
      </w:r>
      <w:r w:rsidR="002A74E7">
        <w:t xml:space="preserve"> </w:t>
      </w:r>
      <w:r w:rsidR="006B1A51">
        <w:t xml:space="preserve">a </w:t>
      </w:r>
      <w:r w:rsidR="002A74E7">
        <w:t xml:space="preserve">new transmission </w:t>
      </w:r>
      <w:r w:rsidR="006B1A51">
        <w:t xml:space="preserve">pricing methodology </w:t>
      </w:r>
      <w:r w:rsidR="002A74E7">
        <w:t>on the needs of the electricity market model i</w:t>
      </w:r>
      <w:r w:rsidR="006B1A51">
        <w:t xml:space="preserve">n the short-term and long-term. The </w:t>
      </w:r>
      <w:r w:rsidR="008E414B">
        <w:t xml:space="preserve">Deloitte </w:t>
      </w:r>
      <w:r w:rsidR="006B1A51">
        <w:t>Team also recommends</w:t>
      </w:r>
      <w:r w:rsidR="002A74E7">
        <w:t xml:space="preserve"> that RERA review </w:t>
      </w:r>
      <w:r w:rsidR="00A04710">
        <w:t>the legal</w:t>
      </w:r>
      <w:r w:rsidR="00BA4A1D">
        <w:t xml:space="preserve"> and regulatory</w:t>
      </w:r>
      <w:r w:rsidR="00A04710">
        <w:t xml:space="preserve"> framework for tariffs and its applicability to all member countries. </w:t>
      </w:r>
    </w:p>
    <w:p w14:paraId="7E113AD6" w14:textId="61A44EBB" w:rsidR="00040479" w:rsidRPr="00CB5D0C" w:rsidRDefault="00BD6DCE" w:rsidP="00CB5D0C">
      <w:pPr>
        <w:rPr>
          <w:rFonts w:ascii="Arial Bold" w:hAnsi="Arial Bold" w:cs="Arial"/>
          <w:b/>
          <w:caps/>
          <w:color w:val="002776" w:themeColor="accent1"/>
          <w:sz w:val="28"/>
          <w:szCs w:val="24"/>
          <w:lang w:eastAsia="en-US"/>
        </w:rPr>
      </w:pPr>
      <w:bookmarkStart w:id="145" w:name="_Toc506918932"/>
      <w:r>
        <w:br w:type="page"/>
      </w:r>
      <w:bookmarkEnd w:id="145"/>
    </w:p>
    <w:p w14:paraId="760B2956" w14:textId="6BEA51D7" w:rsidR="00040479" w:rsidRPr="00595440" w:rsidRDefault="00040479" w:rsidP="00595440">
      <w:pPr>
        <w:pStyle w:val="Heading1"/>
        <w:numPr>
          <w:ilvl w:val="0"/>
          <w:numId w:val="0"/>
        </w:numPr>
        <w:ind w:left="360" w:hanging="360"/>
      </w:pPr>
      <w:bookmarkStart w:id="146" w:name="_Toc506918948"/>
      <w:bookmarkStart w:id="147" w:name="_Toc524014103"/>
      <w:r>
        <w:lastRenderedPageBreak/>
        <w:t xml:space="preserve">Annex </w:t>
      </w:r>
      <w:bookmarkEnd w:id="146"/>
      <w:r w:rsidR="00AE77EC">
        <w:t>A</w:t>
      </w:r>
      <w:r w:rsidR="00595440">
        <w:t xml:space="preserve">: SAPP </w:t>
      </w:r>
      <w:r w:rsidR="00595440" w:rsidRPr="00595440">
        <w:t>WHEELING CHARGES - 1 JANUARY 2016 TO 31 DECEMBER 2016</w:t>
      </w:r>
      <w:bookmarkEnd w:id="147"/>
    </w:p>
    <w:p w14:paraId="253DC35A" w14:textId="77777777" w:rsidR="00040479" w:rsidRPr="000C5D04" w:rsidRDefault="00040479" w:rsidP="00CA6767">
      <w:pPr>
        <w:autoSpaceDE w:val="0"/>
        <w:autoSpaceDN w:val="0"/>
        <w:adjustRightInd w:val="0"/>
        <w:spacing w:line="280" w:lineRule="atLeast"/>
        <w:jc w:val="center"/>
        <w:rPr>
          <w:rFonts w:ascii="Times" w:hAnsi="Times" w:cs="Times"/>
          <w:color w:val="000000"/>
          <w:sz w:val="24"/>
          <w:lang w:bidi="hi-IN"/>
        </w:rPr>
      </w:pPr>
      <w:r w:rsidRPr="000C5D04">
        <w:rPr>
          <w:rFonts w:ascii="Times" w:hAnsi="Times" w:cs="Times"/>
          <w:noProof/>
          <w:color w:val="000000"/>
          <w:sz w:val="24"/>
          <w:lang w:eastAsia="en-US"/>
        </w:rPr>
        <w:drawing>
          <wp:inline distT="0" distB="0" distL="0" distR="0" wp14:anchorId="6F73CFF0" wp14:editId="48FD28E4">
            <wp:extent cx="826770" cy="9340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6770" cy="934085"/>
                    </a:xfrm>
                    <a:prstGeom prst="rect">
                      <a:avLst/>
                    </a:prstGeom>
                    <a:noFill/>
                    <a:ln>
                      <a:noFill/>
                    </a:ln>
                  </pic:spPr>
                </pic:pic>
              </a:graphicData>
            </a:graphic>
          </wp:inline>
        </w:drawing>
      </w:r>
    </w:p>
    <w:p w14:paraId="4D7C17F4" w14:textId="200E363E" w:rsidR="00040479" w:rsidRPr="000C5D04" w:rsidRDefault="00040479" w:rsidP="00CA6767">
      <w:pPr>
        <w:autoSpaceDE w:val="0"/>
        <w:autoSpaceDN w:val="0"/>
        <w:adjustRightInd w:val="0"/>
        <w:spacing w:after="240" w:line="400" w:lineRule="atLeast"/>
        <w:jc w:val="center"/>
        <w:rPr>
          <w:rFonts w:ascii="Times" w:hAnsi="Times" w:cs="Times"/>
          <w:color w:val="000000"/>
          <w:sz w:val="24"/>
          <w:lang w:bidi="hi-IN"/>
        </w:rPr>
      </w:pPr>
      <w:r w:rsidRPr="000C5D04">
        <w:rPr>
          <w:rFonts w:cs="Arial"/>
          <w:b/>
          <w:bCs/>
          <w:color w:val="000000"/>
          <w:sz w:val="34"/>
          <w:szCs w:val="34"/>
          <w:lang w:bidi="hi-IN"/>
        </w:rPr>
        <w:t xml:space="preserve">WHEELING CHARGES - 1 JANUARY 2016 TO 31 DECEMBER 2016 </w:t>
      </w:r>
      <w:r w:rsidR="00595440">
        <w:rPr>
          <w:rFonts w:cs="Arial"/>
          <w:b/>
          <w:bCs/>
          <w:color w:val="000000"/>
          <w:sz w:val="37"/>
          <w:szCs w:val="37"/>
          <w:lang w:bidi="hi-IN"/>
        </w:rPr>
        <w:t>(Bilateral</w:t>
      </w:r>
      <w:r w:rsidRPr="000C5D04">
        <w:rPr>
          <w:rFonts w:cs="Arial"/>
          <w:b/>
          <w:bCs/>
          <w:color w:val="000000"/>
          <w:sz w:val="37"/>
          <w:szCs w:val="37"/>
          <w:lang w:bidi="hi-IN"/>
        </w:rPr>
        <w:t>/Firm)</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700"/>
        <w:gridCol w:w="700"/>
        <w:gridCol w:w="700"/>
        <w:gridCol w:w="700"/>
        <w:gridCol w:w="700"/>
        <w:gridCol w:w="700"/>
        <w:gridCol w:w="700"/>
        <w:gridCol w:w="700"/>
        <w:gridCol w:w="700"/>
        <w:gridCol w:w="990"/>
      </w:tblGrid>
      <w:tr w:rsidR="00930BB2" w:rsidRPr="00A20FE7" w14:paraId="7EC79E23" w14:textId="77777777" w:rsidTr="00295CF2">
        <w:trPr>
          <w:trHeight w:val="485"/>
        </w:trPr>
        <w:tc>
          <w:tcPr>
            <w:tcW w:w="2245" w:type="dxa"/>
            <w:vMerge w:val="restart"/>
            <w:shd w:val="clear" w:color="auto" w:fill="002060"/>
            <w:tcMar>
              <w:top w:w="20" w:type="nil"/>
              <w:left w:w="20" w:type="nil"/>
              <w:bottom w:w="20" w:type="nil"/>
              <w:right w:w="20" w:type="nil"/>
            </w:tcMar>
            <w:vAlign w:val="center"/>
          </w:tcPr>
          <w:p w14:paraId="2CAFD7B0" w14:textId="77777777" w:rsidR="00930BB2" w:rsidRPr="00295CF2" w:rsidRDefault="00930BB2" w:rsidP="00930BB2">
            <w:pPr>
              <w:autoSpaceDE w:val="0"/>
              <w:autoSpaceDN w:val="0"/>
              <w:adjustRightInd w:val="0"/>
              <w:spacing w:after="0" w:line="280" w:lineRule="atLeast"/>
              <w:jc w:val="center"/>
              <w:rPr>
                <w:rFonts w:cs="Arial"/>
                <w:b/>
                <w:color w:val="FFFFFF" w:themeColor="background1"/>
                <w:sz w:val="20"/>
                <w:szCs w:val="18"/>
                <w:lang w:bidi="hi-IN"/>
              </w:rPr>
            </w:pPr>
            <w:r w:rsidRPr="00295CF2">
              <w:rPr>
                <w:rFonts w:cs="Arial"/>
                <w:b/>
                <w:color w:val="FFFFFF" w:themeColor="background1"/>
                <w:sz w:val="20"/>
                <w:szCs w:val="18"/>
                <w:lang w:bidi="hi-IN"/>
              </w:rPr>
              <w:t>Transaction:</w:t>
            </w:r>
          </w:p>
          <w:p w14:paraId="70F251ED" w14:textId="77777777" w:rsidR="00930BB2" w:rsidRPr="00295CF2" w:rsidRDefault="00930BB2" w:rsidP="00930BB2">
            <w:pPr>
              <w:autoSpaceDE w:val="0"/>
              <w:autoSpaceDN w:val="0"/>
              <w:adjustRightInd w:val="0"/>
              <w:spacing w:after="0" w:line="280" w:lineRule="atLeast"/>
              <w:jc w:val="center"/>
              <w:rPr>
                <w:rFonts w:ascii="Times" w:hAnsi="Times" w:cs="Times"/>
                <w:b/>
                <w:color w:val="FFFFFF" w:themeColor="background1"/>
                <w:sz w:val="20"/>
                <w:szCs w:val="18"/>
                <w:lang w:bidi="hi-IN"/>
              </w:rPr>
            </w:pPr>
            <w:r w:rsidRPr="00295CF2">
              <w:rPr>
                <w:rFonts w:cs="Arial"/>
                <w:b/>
                <w:color w:val="FFFFFF" w:themeColor="background1"/>
                <w:sz w:val="20"/>
                <w:szCs w:val="18"/>
                <w:lang w:bidi="hi-IN"/>
              </w:rPr>
              <w:t>Seller to Buyer</w:t>
            </w:r>
          </w:p>
        </w:tc>
        <w:tc>
          <w:tcPr>
            <w:tcW w:w="6300" w:type="dxa"/>
            <w:gridSpan w:val="9"/>
            <w:shd w:val="clear" w:color="auto" w:fill="002060"/>
            <w:tcMar>
              <w:top w:w="20" w:type="nil"/>
              <w:left w:w="20" w:type="nil"/>
              <w:bottom w:w="20" w:type="nil"/>
              <w:right w:w="20" w:type="nil"/>
            </w:tcMar>
            <w:vAlign w:val="center"/>
          </w:tcPr>
          <w:p w14:paraId="1B3DECE2" w14:textId="77777777" w:rsidR="00930BB2" w:rsidRPr="00295CF2" w:rsidRDefault="00930BB2" w:rsidP="00930BB2">
            <w:pPr>
              <w:autoSpaceDE w:val="0"/>
              <w:autoSpaceDN w:val="0"/>
              <w:adjustRightInd w:val="0"/>
              <w:spacing w:after="0" w:line="280" w:lineRule="atLeast"/>
              <w:jc w:val="center"/>
              <w:rPr>
                <w:rFonts w:ascii="Times" w:hAnsi="Times" w:cs="Times"/>
                <w:b/>
                <w:color w:val="FFFFFF" w:themeColor="background1"/>
                <w:sz w:val="20"/>
                <w:szCs w:val="18"/>
                <w:lang w:bidi="hi-IN"/>
              </w:rPr>
            </w:pPr>
            <w:r w:rsidRPr="00295CF2">
              <w:rPr>
                <w:rFonts w:cs="Arial"/>
                <w:b/>
                <w:color w:val="FFFFFF" w:themeColor="background1"/>
                <w:sz w:val="20"/>
                <w:szCs w:val="18"/>
                <w:lang w:bidi="hi-IN"/>
              </w:rPr>
              <w:t>WHEELERS , USc /kWh</w:t>
            </w:r>
          </w:p>
        </w:tc>
        <w:tc>
          <w:tcPr>
            <w:tcW w:w="990" w:type="dxa"/>
            <w:vMerge w:val="restart"/>
            <w:shd w:val="clear" w:color="auto" w:fill="002060"/>
            <w:tcMar>
              <w:top w:w="20" w:type="nil"/>
              <w:left w:w="20" w:type="nil"/>
              <w:bottom w:w="20" w:type="nil"/>
              <w:right w:w="20" w:type="nil"/>
            </w:tcMar>
            <w:vAlign w:val="center"/>
          </w:tcPr>
          <w:p w14:paraId="31B55047" w14:textId="77777777" w:rsidR="00930BB2" w:rsidRPr="00295CF2" w:rsidRDefault="00930BB2" w:rsidP="00930BB2">
            <w:pPr>
              <w:autoSpaceDE w:val="0"/>
              <w:autoSpaceDN w:val="0"/>
              <w:adjustRightInd w:val="0"/>
              <w:spacing w:after="0" w:line="280" w:lineRule="atLeast"/>
              <w:jc w:val="center"/>
              <w:rPr>
                <w:rFonts w:ascii="Times" w:hAnsi="Times" w:cs="Times"/>
                <w:b/>
                <w:color w:val="FFFFFF" w:themeColor="background1"/>
                <w:sz w:val="20"/>
                <w:szCs w:val="18"/>
                <w:lang w:bidi="hi-IN"/>
              </w:rPr>
            </w:pPr>
            <w:r w:rsidRPr="00295CF2">
              <w:rPr>
                <w:rFonts w:cs="Arial"/>
                <w:b/>
                <w:color w:val="FFFFFF" w:themeColor="background1"/>
                <w:sz w:val="20"/>
                <w:szCs w:val="18"/>
                <w:lang w:bidi="hi-IN"/>
              </w:rPr>
              <w:t>Total</w:t>
            </w:r>
          </w:p>
          <w:p w14:paraId="13D573C9" w14:textId="77777777" w:rsidR="00930BB2" w:rsidRPr="00295CF2" w:rsidRDefault="00930BB2" w:rsidP="00930BB2">
            <w:pPr>
              <w:autoSpaceDE w:val="0"/>
              <w:autoSpaceDN w:val="0"/>
              <w:adjustRightInd w:val="0"/>
              <w:spacing w:after="0" w:line="280" w:lineRule="atLeast"/>
              <w:jc w:val="center"/>
              <w:rPr>
                <w:rFonts w:ascii="Times" w:hAnsi="Times" w:cs="Times"/>
                <w:b/>
                <w:color w:val="FFFFFF" w:themeColor="background1"/>
                <w:sz w:val="20"/>
                <w:szCs w:val="18"/>
                <w:lang w:bidi="hi-IN"/>
              </w:rPr>
            </w:pPr>
            <w:r w:rsidRPr="00295CF2">
              <w:rPr>
                <w:rFonts w:cs="Arial"/>
                <w:b/>
                <w:color w:val="FFFFFF" w:themeColor="background1"/>
                <w:sz w:val="20"/>
                <w:szCs w:val="18"/>
                <w:lang w:bidi="hi-IN"/>
              </w:rPr>
              <w:t>USc /kWh</w:t>
            </w:r>
          </w:p>
        </w:tc>
      </w:tr>
      <w:tr w:rsidR="00930BB2" w:rsidRPr="00A20FE7" w14:paraId="501CA9C0" w14:textId="77777777" w:rsidTr="00550B33">
        <w:trPr>
          <w:trHeight w:val="971"/>
        </w:trPr>
        <w:tc>
          <w:tcPr>
            <w:tcW w:w="2245" w:type="dxa"/>
            <w:vMerge/>
            <w:tcMar>
              <w:top w:w="20" w:type="nil"/>
              <w:left w:w="20" w:type="nil"/>
              <w:bottom w:w="20" w:type="nil"/>
              <w:right w:w="20" w:type="nil"/>
            </w:tcMar>
            <w:vAlign w:val="center"/>
          </w:tcPr>
          <w:p w14:paraId="4B0AA6CA" w14:textId="77777777" w:rsidR="00930BB2" w:rsidRPr="00A20FE7" w:rsidRDefault="00930BB2" w:rsidP="00930BB2">
            <w:pPr>
              <w:autoSpaceDE w:val="0"/>
              <w:autoSpaceDN w:val="0"/>
              <w:adjustRightInd w:val="0"/>
              <w:jc w:val="left"/>
              <w:rPr>
                <w:rFonts w:ascii="Times" w:hAnsi="Times" w:cs="Times"/>
                <w:color w:val="000000"/>
                <w:sz w:val="18"/>
                <w:szCs w:val="18"/>
                <w:lang w:bidi="hi-IN"/>
              </w:rPr>
            </w:pPr>
          </w:p>
        </w:tc>
        <w:tc>
          <w:tcPr>
            <w:tcW w:w="700" w:type="dxa"/>
            <w:shd w:val="clear" w:color="auto" w:fill="BFBFBF" w:themeFill="background1" w:themeFillShade="BF"/>
            <w:tcMar>
              <w:top w:w="20" w:type="nil"/>
              <w:left w:w="20" w:type="nil"/>
              <w:bottom w:w="20" w:type="nil"/>
              <w:right w:w="20" w:type="nil"/>
            </w:tcMar>
            <w:vAlign w:val="center"/>
          </w:tcPr>
          <w:p w14:paraId="72AD79CF" w14:textId="77777777" w:rsidR="00930BB2" w:rsidRPr="00550B33" w:rsidRDefault="00930BB2" w:rsidP="00930BB2">
            <w:pPr>
              <w:autoSpaceDE w:val="0"/>
              <w:autoSpaceDN w:val="0"/>
              <w:adjustRightInd w:val="0"/>
              <w:spacing w:after="0" w:line="280" w:lineRule="atLeast"/>
              <w:jc w:val="center"/>
              <w:rPr>
                <w:rFonts w:ascii="Times" w:hAnsi="Times" w:cs="Times"/>
                <w:b/>
                <w:i/>
                <w:color w:val="000000"/>
                <w:sz w:val="18"/>
                <w:szCs w:val="18"/>
                <w:lang w:bidi="hi-IN"/>
              </w:rPr>
            </w:pPr>
            <w:r w:rsidRPr="00550B33">
              <w:rPr>
                <w:rFonts w:cs="Arial"/>
                <w:b/>
                <w:i/>
                <w:color w:val="000000"/>
                <w:sz w:val="18"/>
                <w:szCs w:val="18"/>
                <w:lang w:bidi="hi-IN"/>
              </w:rPr>
              <w:t>BPC</w:t>
            </w:r>
          </w:p>
        </w:tc>
        <w:tc>
          <w:tcPr>
            <w:tcW w:w="700" w:type="dxa"/>
            <w:shd w:val="clear" w:color="auto" w:fill="BFBFBF" w:themeFill="background1" w:themeFillShade="BF"/>
            <w:tcMar>
              <w:top w:w="20" w:type="nil"/>
              <w:left w:w="20" w:type="nil"/>
              <w:bottom w:w="20" w:type="nil"/>
              <w:right w:w="20" w:type="nil"/>
            </w:tcMar>
            <w:vAlign w:val="center"/>
          </w:tcPr>
          <w:p w14:paraId="0426DFA8" w14:textId="77777777" w:rsidR="00930BB2" w:rsidRPr="00550B33" w:rsidRDefault="00930BB2" w:rsidP="00930BB2">
            <w:pPr>
              <w:autoSpaceDE w:val="0"/>
              <w:autoSpaceDN w:val="0"/>
              <w:adjustRightInd w:val="0"/>
              <w:spacing w:after="0" w:line="280" w:lineRule="atLeast"/>
              <w:jc w:val="center"/>
              <w:rPr>
                <w:rFonts w:ascii="Times" w:hAnsi="Times" w:cs="Times"/>
                <w:b/>
                <w:i/>
                <w:color w:val="000000"/>
                <w:sz w:val="18"/>
                <w:szCs w:val="18"/>
                <w:lang w:bidi="hi-IN"/>
              </w:rPr>
            </w:pPr>
            <w:r w:rsidRPr="00550B33">
              <w:rPr>
                <w:rFonts w:cs="Arial"/>
                <w:b/>
                <w:i/>
                <w:color w:val="000000"/>
                <w:sz w:val="18"/>
                <w:szCs w:val="18"/>
                <w:lang w:bidi="hi-IN"/>
              </w:rPr>
              <w:t>ESK</w:t>
            </w:r>
            <w:r w:rsidR="00550B33" w:rsidRPr="00550B33">
              <w:rPr>
                <w:rFonts w:cs="Arial"/>
                <w:b/>
                <w:i/>
                <w:color w:val="000000"/>
                <w:sz w:val="18"/>
                <w:szCs w:val="18"/>
                <w:lang w:bidi="hi-IN"/>
              </w:rPr>
              <w:t>-</w:t>
            </w:r>
            <w:r w:rsidRPr="00550B33">
              <w:rPr>
                <w:rFonts w:cs="Arial"/>
                <w:b/>
                <w:i/>
                <w:color w:val="000000"/>
                <w:sz w:val="18"/>
                <w:szCs w:val="18"/>
                <w:lang w:bidi="hi-IN"/>
              </w:rPr>
              <w:t>OM</w:t>
            </w:r>
          </w:p>
        </w:tc>
        <w:tc>
          <w:tcPr>
            <w:tcW w:w="700" w:type="dxa"/>
            <w:shd w:val="clear" w:color="auto" w:fill="BFBFBF" w:themeFill="background1" w:themeFillShade="BF"/>
            <w:tcMar>
              <w:top w:w="20" w:type="nil"/>
              <w:left w:w="20" w:type="nil"/>
              <w:bottom w:w="20" w:type="nil"/>
              <w:right w:w="20" w:type="nil"/>
            </w:tcMar>
            <w:vAlign w:val="center"/>
          </w:tcPr>
          <w:p w14:paraId="625EE168" w14:textId="77777777" w:rsidR="00930BB2" w:rsidRPr="00550B33" w:rsidRDefault="00930BB2" w:rsidP="00930BB2">
            <w:pPr>
              <w:autoSpaceDE w:val="0"/>
              <w:autoSpaceDN w:val="0"/>
              <w:adjustRightInd w:val="0"/>
              <w:spacing w:after="0" w:line="280" w:lineRule="atLeast"/>
              <w:jc w:val="center"/>
              <w:rPr>
                <w:rFonts w:ascii="Times" w:hAnsi="Times" w:cs="Times"/>
                <w:b/>
                <w:i/>
                <w:color w:val="000000"/>
                <w:sz w:val="18"/>
                <w:szCs w:val="18"/>
                <w:lang w:bidi="hi-IN"/>
              </w:rPr>
            </w:pPr>
            <w:r w:rsidRPr="00550B33">
              <w:rPr>
                <w:rFonts w:cs="Arial"/>
                <w:b/>
                <w:i/>
                <w:color w:val="000000"/>
                <w:sz w:val="18"/>
                <w:szCs w:val="18"/>
                <w:lang w:bidi="hi-IN"/>
              </w:rPr>
              <w:t>EDM (S)</w:t>
            </w:r>
          </w:p>
        </w:tc>
        <w:tc>
          <w:tcPr>
            <w:tcW w:w="700" w:type="dxa"/>
            <w:shd w:val="clear" w:color="auto" w:fill="BFBFBF" w:themeFill="background1" w:themeFillShade="BF"/>
            <w:tcMar>
              <w:top w:w="20" w:type="nil"/>
              <w:left w:w="20" w:type="nil"/>
              <w:bottom w:w="20" w:type="nil"/>
              <w:right w:w="20" w:type="nil"/>
            </w:tcMar>
            <w:vAlign w:val="center"/>
          </w:tcPr>
          <w:p w14:paraId="6CFA4784" w14:textId="77777777" w:rsidR="00930BB2" w:rsidRPr="00550B33" w:rsidRDefault="00930BB2" w:rsidP="00930BB2">
            <w:pPr>
              <w:autoSpaceDE w:val="0"/>
              <w:autoSpaceDN w:val="0"/>
              <w:adjustRightInd w:val="0"/>
              <w:spacing w:after="0" w:line="280" w:lineRule="atLeast"/>
              <w:jc w:val="center"/>
              <w:rPr>
                <w:rFonts w:ascii="Times" w:hAnsi="Times" w:cs="Times"/>
                <w:b/>
                <w:i/>
                <w:color w:val="000000"/>
                <w:sz w:val="18"/>
                <w:szCs w:val="18"/>
                <w:lang w:bidi="hi-IN"/>
              </w:rPr>
            </w:pPr>
            <w:r w:rsidRPr="00550B33">
              <w:rPr>
                <w:rFonts w:cs="Arial"/>
                <w:b/>
                <w:i/>
                <w:color w:val="000000"/>
                <w:sz w:val="18"/>
                <w:szCs w:val="18"/>
                <w:lang w:bidi="hi-IN"/>
              </w:rPr>
              <w:t>EDM (N)</w:t>
            </w:r>
          </w:p>
        </w:tc>
        <w:tc>
          <w:tcPr>
            <w:tcW w:w="700" w:type="dxa"/>
            <w:shd w:val="clear" w:color="auto" w:fill="BFBFBF" w:themeFill="background1" w:themeFillShade="BF"/>
            <w:tcMar>
              <w:top w:w="20" w:type="nil"/>
              <w:left w:w="20" w:type="nil"/>
              <w:bottom w:w="20" w:type="nil"/>
              <w:right w:w="20" w:type="nil"/>
            </w:tcMar>
            <w:vAlign w:val="center"/>
          </w:tcPr>
          <w:p w14:paraId="58969301" w14:textId="77777777" w:rsidR="00930BB2" w:rsidRPr="00550B33" w:rsidRDefault="00930BB2" w:rsidP="00930BB2">
            <w:pPr>
              <w:autoSpaceDE w:val="0"/>
              <w:autoSpaceDN w:val="0"/>
              <w:adjustRightInd w:val="0"/>
              <w:spacing w:after="0" w:line="280" w:lineRule="atLeast"/>
              <w:jc w:val="center"/>
              <w:rPr>
                <w:rFonts w:ascii="Times" w:hAnsi="Times" w:cs="Times"/>
                <w:b/>
                <w:i/>
                <w:color w:val="000000"/>
                <w:sz w:val="18"/>
                <w:szCs w:val="18"/>
                <w:lang w:bidi="hi-IN"/>
              </w:rPr>
            </w:pPr>
            <w:r w:rsidRPr="00550B33">
              <w:rPr>
                <w:rFonts w:cs="Arial"/>
                <w:b/>
                <w:i/>
                <w:color w:val="000000"/>
                <w:sz w:val="18"/>
                <w:szCs w:val="18"/>
                <w:lang w:bidi="hi-IN"/>
              </w:rPr>
              <w:t>SEC</w:t>
            </w:r>
          </w:p>
        </w:tc>
        <w:tc>
          <w:tcPr>
            <w:tcW w:w="700" w:type="dxa"/>
            <w:shd w:val="clear" w:color="auto" w:fill="BFBFBF" w:themeFill="background1" w:themeFillShade="BF"/>
            <w:tcMar>
              <w:top w:w="20" w:type="nil"/>
              <w:left w:w="20" w:type="nil"/>
              <w:bottom w:w="20" w:type="nil"/>
              <w:right w:w="20" w:type="nil"/>
            </w:tcMar>
            <w:vAlign w:val="center"/>
          </w:tcPr>
          <w:p w14:paraId="2392778A" w14:textId="77777777" w:rsidR="00930BB2" w:rsidRPr="00550B33" w:rsidRDefault="00930BB2" w:rsidP="00930BB2">
            <w:pPr>
              <w:autoSpaceDE w:val="0"/>
              <w:autoSpaceDN w:val="0"/>
              <w:adjustRightInd w:val="0"/>
              <w:spacing w:after="0" w:line="280" w:lineRule="atLeast"/>
              <w:jc w:val="center"/>
              <w:rPr>
                <w:rFonts w:ascii="Times" w:hAnsi="Times" w:cs="Times"/>
                <w:b/>
                <w:i/>
                <w:color w:val="000000"/>
                <w:sz w:val="18"/>
                <w:szCs w:val="18"/>
                <w:lang w:bidi="hi-IN"/>
              </w:rPr>
            </w:pPr>
            <w:r w:rsidRPr="00550B33">
              <w:rPr>
                <w:rFonts w:cs="Arial"/>
                <w:b/>
                <w:i/>
                <w:color w:val="000000"/>
                <w:sz w:val="18"/>
                <w:szCs w:val="18"/>
                <w:lang w:bidi="hi-IN"/>
              </w:rPr>
              <w:t>ZESA</w:t>
            </w:r>
          </w:p>
        </w:tc>
        <w:tc>
          <w:tcPr>
            <w:tcW w:w="700" w:type="dxa"/>
            <w:shd w:val="clear" w:color="auto" w:fill="BFBFBF" w:themeFill="background1" w:themeFillShade="BF"/>
            <w:tcMar>
              <w:top w:w="20" w:type="nil"/>
              <w:left w:w="20" w:type="nil"/>
              <w:bottom w:w="20" w:type="nil"/>
              <w:right w:w="20" w:type="nil"/>
            </w:tcMar>
            <w:vAlign w:val="center"/>
          </w:tcPr>
          <w:p w14:paraId="4500AB5F" w14:textId="77777777" w:rsidR="00930BB2" w:rsidRPr="00550B33" w:rsidRDefault="00930BB2" w:rsidP="00550B33">
            <w:pPr>
              <w:autoSpaceDE w:val="0"/>
              <w:autoSpaceDN w:val="0"/>
              <w:adjustRightInd w:val="0"/>
              <w:spacing w:after="0" w:line="280" w:lineRule="atLeast"/>
              <w:jc w:val="center"/>
              <w:rPr>
                <w:rFonts w:ascii="Times" w:hAnsi="Times" w:cs="Times"/>
                <w:b/>
                <w:i/>
                <w:color w:val="000000"/>
                <w:sz w:val="18"/>
                <w:szCs w:val="18"/>
                <w:lang w:bidi="hi-IN"/>
              </w:rPr>
            </w:pPr>
            <w:r w:rsidRPr="00550B33">
              <w:rPr>
                <w:rFonts w:cs="Arial"/>
                <w:b/>
                <w:i/>
                <w:color w:val="000000"/>
                <w:sz w:val="18"/>
                <w:szCs w:val="18"/>
                <w:lang w:bidi="hi-IN"/>
              </w:rPr>
              <w:t>ZES</w:t>
            </w:r>
            <w:r w:rsidR="00550B33" w:rsidRPr="00550B33">
              <w:rPr>
                <w:rFonts w:cs="Arial"/>
                <w:b/>
                <w:i/>
                <w:color w:val="000000"/>
                <w:sz w:val="18"/>
                <w:szCs w:val="18"/>
                <w:lang w:bidi="hi-IN"/>
              </w:rPr>
              <w:t>-</w:t>
            </w:r>
            <w:r w:rsidRPr="00550B33">
              <w:rPr>
                <w:rFonts w:cs="Arial"/>
                <w:b/>
                <w:i/>
                <w:color w:val="000000"/>
                <w:sz w:val="18"/>
                <w:szCs w:val="18"/>
                <w:lang w:bidi="hi-IN"/>
              </w:rPr>
              <w:t>CO</w:t>
            </w:r>
          </w:p>
        </w:tc>
        <w:tc>
          <w:tcPr>
            <w:tcW w:w="700" w:type="dxa"/>
            <w:shd w:val="clear" w:color="auto" w:fill="BFBFBF" w:themeFill="background1" w:themeFillShade="BF"/>
            <w:tcMar>
              <w:top w:w="20" w:type="nil"/>
              <w:left w:w="20" w:type="nil"/>
              <w:bottom w:w="20" w:type="nil"/>
              <w:right w:w="20" w:type="nil"/>
            </w:tcMar>
            <w:vAlign w:val="center"/>
          </w:tcPr>
          <w:p w14:paraId="45BB24DE" w14:textId="77777777" w:rsidR="00930BB2" w:rsidRPr="00550B33" w:rsidRDefault="00930BB2" w:rsidP="00930BB2">
            <w:pPr>
              <w:autoSpaceDE w:val="0"/>
              <w:autoSpaceDN w:val="0"/>
              <w:adjustRightInd w:val="0"/>
              <w:spacing w:after="0" w:line="280" w:lineRule="atLeast"/>
              <w:jc w:val="center"/>
              <w:rPr>
                <w:rFonts w:ascii="Times" w:hAnsi="Times" w:cs="Times"/>
                <w:b/>
                <w:i/>
                <w:color w:val="000000"/>
                <w:sz w:val="18"/>
                <w:szCs w:val="18"/>
                <w:lang w:bidi="hi-IN"/>
              </w:rPr>
            </w:pPr>
            <w:r w:rsidRPr="00550B33">
              <w:rPr>
                <w:rFonts w:cs="Arial"/>
                <w:b/>
                <w:i/>
                <w:color w:val="000000"/>
                <w:sz w:val="18"/>
                <w:szCs w:val="18"/>
                <w:lang w:bidi="hi-IN"/>
              </w:rPr>
              <w:t>CEC</w:t>
            </w:r>
          </w:p>
        </w:tc>
        <w:tc>
          <w:tcPr>
            <w:tcW w:w="700" w:type="dxa"/>
            <w:shd w:val="clear" w:color="auto" w:fill="BFBFBF" w:themeFill="background1" w:themeFillShade="BF"/>
            <w:tcMar>
              <w:top w:w="20" w:type="nil"/>
              <w:left w:w="20" w:type="nil"/>
              <w:bottom w:w="20" w:type="nil"/>
              <w:right w:w="20" w:type="nil"/>
            </w:tcMar>
            <w:vAlign w:val="center"/>
          </w:tcPr>
          <w:p w14:paraId="37822BD2" w14:textId="77777777" w:rsidR="00930BB2" w:rsidRPr="00550B33" w:rsidRDefault="00930BB2" w:rsidP="00930BB2">
            <w:pPr>
              <w:autoSpaceDE w:val="0"/>
              <w:autoSpaceDN w:val="0"/>
              <w:adjustRightInd w:val="0"/>
              <w:spacing w:after="0" w:line="280" w:lineRule="atLeast"/>
              <w:jc w:val="center"/>
              <w:rPr>
                <w:rFonts w:ascii="Times" w:hAnsi="Times" w:cs="Times"/>
                <w:b/>
                <w:i/>
                <w:color w:val="000000"/>
                <w:sz w:val="18"/>
                <w:szCs w:val="18"/>
                <w:lang w:bidi="hi-IN"/>
              </w:rPr>
            </w:pPr>
            <w:r w:rsidRPr="00550B33">
              <w:rPr>
                <w:rFonts w:cs="Arial"/>
                <w:b/>
                <w:i/>
                <w:color w:val="000000"/>
                <w:sz w:val="18"/>
                <w:szCs w:val="18"/>
                <w:lang w:bidi="hi-IN"/>
              </w:rPr>
              <w:t>NAMPO</w:t>
            </w:r>
            <w:r w:rsidR="00550B33" w:rsidRPr="00550B33">
              <w:rPr>
                <w:rFonts w:cs="Arial"/>
                <w:b/>
                <w:i/>
                <w:color w:val="000000"/>
                <w:sz w:val="18"/>
                <w:szCs w:val="18"/>
                <w:lang w:bidi="hi-IN"/>
              </w:rPr>
              <w:t>-</w:t>
            </w:r>
            <w:r w:rsidRPr="00550B33">
              <w:rPr>
                <w:rFonts w:cs="Arial"/>
                <w:b/>
                <w:i/>
                <w:color w:val="000000"/>
                <w:sz w:val="18"/>
                <w:szCs w:val="18"/>
                <w:lang w:bidi="hi-IN"/>
              </w:rPr>
              <w:t>WER</w:t>
            </w:r>
          </w:p>
        </w:tc>
        <w:tc>
          <w:tcPr>
            <w:tcW w:w="990" w:type="dxa"/>
            <w:vMerge/>
            <w:tcMar>
              <w:top w:w="20" w:type="nil"/>
              <w:left w:w="20" w:type="nil"/>
              <w:bottom w:w="20" w:type="nil"/>
              <w:right w:w="20" w:type="nil"/>
            </w:tcMar>
            <w:vAlign w:val="center"/>
          </w:tcPr>
          <w:p w14:paraId="17D7E298" w14:textId="77777777" w:rsidR="00930BB2" w:rsidRPr="00A20FE7" w:rsidRDefault="00930BB2" w:rsidP="00930BB2">
            <w:pPr>
              <w:autoSpaceDE w:val="0"/>
              <w:autoSpaceDN w:val="0"/>
              <w:adjustRightInd w:val="0"/>
              <w:rPr>
                <w:rFonts w:ascii="Times" w:hAnsi="Times" w:cs="Times"/>
                <w:color w:val="000000"/>
                <w:sz w:val="18"/>
                <w:szCs w:val="18"/>
                <w:lang w:bidi="hi-IN"/>
              </w:rPr>
            </w:pPr>
          </w:p>
        </w:tc>
      </w:tr>
      <w:tr w:rsidR="00930BB2" w:rsidRPr="00A20FE7" w14:paraId="5296A75C" w14:textId="77777777" w:rsidTr="00930BB2">
        <w:tc>
          <w:tcPr>
            <w:tcW w:w="2245" w:type="dxa"/>
            <w:tcMar>
              <w:top w:w="20" w:type="nil"/>
              <w:left w:w="20" w:type="nil"/>
              <w:bottom w:w="20" w:type="nil"/>
              <w:right w:w="20" w:type="nil"/>
            </w:tcMar>
            <w:vAlign w:val="center"/>
          </w:tcPr>
          <w:p w14:paraId="76A8FDFE"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SNEL - ZESCO </w:t>
            </w:r>
          </w:p>
        </w:tc>
        <w:tc>
          <w:tcPr>
            <w:tcW w:w="700" w:type="dxa"/>
            <w:tcMar>
              <w:top w:w="20" w:type="nil"/>
              <w:left w:w="20" w:type="nil"/>
              <w:bottom w:w="20" w:type="nil"/>
              <w:right w:w="20" w:type="nil"/>
            </w:tcMar>
            <w:vAlign w:val="center"/>
          </w:tcPr>
          <w:p w14:paraId="4C24F1E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0613C3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D4F787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CCC9A4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047B98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AA4AC0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A67A54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253BE1B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054E21C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2172F7BC"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0.042 </w:t>
            </w:r>
          </w:p>
        </w:tc>
      </w:tr>
      <w:tr w:rsidR="00930BB2" w:rsidRPr="00A20FE7" w14:paraId="354B1E94" w14:textId="77777777" w:rsidTr="00930BB2">
        <w:tc>
          <w:tcPr>
            <w:tcW w:w="2245" w:type="dxa"/>
            <w:tcMar>
              <w:top w:w="20" w:type="nil"/>
              <w:left w:w="20" w:type="nil"/>
              <w:bottom w:w="20" w:type="nil"/>
              <w:right w:w="20" w:type="nil"/>
            </w:tcMar>
            <w:vAlign w:val="center"/>
          </w:tcPr>
          <w:p w14:paraId="789F59DF"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SNEL - ZESA </w:t>
            </w:r>
          </w:p>
        </w:tc>
        <w:tc>
          <w:tcPr>
            <w:tcW w:w="700" w:type="dxa"/>
            <w:tcMar>
              <w:top w:w="20" w:type="nil"/>
              <w:left w:w="20" w:type="nil"/>
              <w:bottom w:w="20" w:type="nil"/>
              <w:right w:w="20" w:type="nil"/>
            </w:tcMar>
            <w:vAlign w:val="center"/>
          </w:tcPr>
          <w:p w14:paraId="1447BDF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F4F939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ADE8A3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668F87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4116FB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BF84C1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F8C3BE3"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41E2676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25A4CE1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3E82A6F0"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0.183 </w:t>
            </w:r>
          </w:p>
        </w:tc>
      </w:tr>
      <w:tr w:rsidR="00930BB2" w:rsidRPr="00A20FE7" w14:paraId="3164FF94" w14:textId="77777777" w:rsidTr="00930BB2">
        <w:tc>
          <w:tcPr>
            <w:tcW w:w="2245" w:type="dxa"/>
            <w:tcMar>
              <w:top w:w="20" w:type="nil"/>
              <w:left w:w="20" w:type="nil"/>
              <w:bottom w:w="20" w:type="nil"/>
              <w:right w:w="20" w:type="nil"/>
            </w:tcMar>
            <w:vAlign w:val="center"/>
          </w:tcPr>
          <w:p w14:paraId="1DE0E1FE"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SNEL - BPC </w:t>
            </w:r>
          </w:p>
        </w:tc>
        <w:tc>
          <w:tcPr>
            <w:tcW w:w="700" w:type="dxa"/>
            <w:tcMar>
              <w:top w:w="20" w:type="nil"/>
              <w:left w:w="20" w:type="nil"/>
              <w:bottom w:w="20" w:type="nil"/>
              <w:right w:w="20" w:type="nil"/>
            </w:tcMar>
            <w:vAlign w:val="center"/>
          </w:tcPr>
          <w:p w14:paraId="574A990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3DD6D8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0BF683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A0D410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9853F0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7CED47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64B8CD0A"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209ED83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08DA93A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445FFC75"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0.372 </w:t>
            </w:r>
          </w:p>
        </w:tc>
      </w:tr>
      <w:tr w:rsidR="00930BB2" w:rsidRPr="00A20FE7" w14:paraId="1058B701" w14:textId="77777777" w:rsidTr="00930BB2">
        <w:tc>
          <w:tcPr>
            <w:tcW w:w="2245" w:type="dxa"/>
            <w:tcMar>
              <w:top w:w="20" w:type="nil"/>
              <w:left w:w="20" w:type="nil"/>
              <w:bottom w:w="20" w:type="nil"/>
              <w:right w:w="20" w:type="nil"/>
            </w:tcMar>
            <w:vAlign w:val="center"/>
          </w:tcPr>
          <w:p w14:paraId="0AAD99E6"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SNEL - ESKOM </w:t>
            </w:r>
          </w:p>
        </w:tc>
        <w:tc>
          <w:tcPr>
            <w:tcW w:w="700" w:type="dxa"/>
            <w:tcMar>
              <w:top w:w="20" w:type="nil"/>
              <w:left w:w="20" w:type="nil"/>
              <w:bottom w:w="20" w:type="nil"/>
              <w:right w:w="20" w:type="nil"/>
            </w:tcMar>
            <w:vAlign w:val="center"/>
          </w:tcPr>
          <w:p w14:paraId="40F5CAD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0.006</w:t>
            </w:r>
          </w:p>
        </w:tc>
        <w:tc>
          <w:tcPr>
            <w:tcW w:w="700" w:type="dxa"/>
            <w:tcMar>
              <w:top w:w="20" w:type="nil"/>
              <w:left w:w="20" w:type="nil"/>
              <w:bottom w:w="20" w:type="nil"/>
              <w:right w:w="20" w:type="nil"/>
            </w:tcMar>
            <w:vAlign w:val="center"/>
          </w:tcPr>
          <w:p w14:paraId="3072B1F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B21CB6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A8558F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8B2725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0DA3EF0"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0FAD5F4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092CAAF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11A88C5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0A1CDD0B"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0.378 </w:t>
            </w:r>
          </w:p>
        </w:tc>
      </w:tr>
      <w:tr w:rsidR="00930BB2" w:rsidRPr="00A20FE7" w14:paraId="3F4FB30D" w14:textId="77777777" w:rsidTr="00930BB2">
        <w:tc>
          <w:tcPr>
            <w:tcW w:w="2245" w:type="dxa"/>
            <w:tcMar>
              <w:top w:w="20" w:type="nil"/>
              <w:left w:w="20" w:type="nil"/>
              <w:bottom w:w="20" w:type="nil"/>
              <w:right w:w="20" w:type="nil"/>
            </w:tcMar>
            <w:vAlign w:val="center"/>
          </w:tcPr>
          <w:p w14:paraId="36716A32"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SNEL - NAMPOWER </w:t>
            </w:r>
          </w:p>
        </w:tc>
        <w:tc>
          <w:tcPr>
            <w:tcW w:w="700" w:type="dxa"/>
            <w:tcMar>
              <w:top w:w="20" w:type="nil"/>
              <w:left w:w="20" w:type="nil"/>
              <w:bottom w:w="20" w:type="nil"/>
              <w:right w:w="20" w:type="nil"/>
            </w:tcMar>
            <w:vAlign w:val="center"/>
          </w:tcPr>
          <w:p w14:paraId="3803C8E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043FC787"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0.261</w:t>
            </w:r>
          </w:p>
        </w:tc>
        <w:tc>
          <w:tcPr>
            <w:tcW w:w="700" w:type="dxa"/>
            <w:tcMar>
              <w:top w:w="20" w:type="nil"/>
              <w:left w:w="20" w:type="nil"/>
              <w:bottom w:w="20" w:type="nil"/>
              <w:right w:w="20" w:type="nil"/>
            </w:tcMar>
            <w:vAlign w:val="center"/>
          </w:tcPr>
          <w:p w14:paraId="1DD6259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B6CD76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98FE06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F9FED4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355DFF2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72115C1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1F06ED0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67BFACA9"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0.685 </w:t>
            </w:r>
          </w:p>
        </w:tc>
      </w:tr>
      <w:tr w:rsidR="00930BB2" w:rsidRPr="00A20FE7" w14:paraId="37609D45" w14:textId="77777777" w:rsidTr="00930BB2">
        <w:tc>
          <w:tcPr>
            <w:tcW w:w="2245" w:type="dxa"/>
            <w:tcMar>
              <w:top w:w="20" w:type="nil"/>
              <w:left w:w="20" w:type="nil"/>
              <w:bottom w:w="20" w:type="nil"/>
              <w:right w:w="20" w:type="nil"/>
            </w:tcMar>
            <w:vAlign w:val="center"/>
          </w:tcPr>
          <w:p w14:paraId="6F94C386"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SNEL - SEC </w:t>
            </w:r>
          </w:p>
        </w:tc>
        <w:tc>
          <w:tcPr>
            <w:tcW w:w="700" w:type="dxa"/>
            <w:tcMar>
              <w:top w:w="20" w:type="nil"/>
              <w:left w:w="20" w:type="nil"/>
              <w:bottom w:w="20" w:type="nil"/>
              <w:right w:w="20" w:type="nil"/>
            </w:tcMar>
            <w:vAlign w:val="center"/>
          </w:tcPr>
          <w:p w14:paraId="391DE8A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4B73745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0.100</w:t>
            </w:r>
          </w:p>
        </w:tc>
        <w:tc>
          <w:tcPr>
            <w:tcW w:w="700" w:type="dxa"/>
            <w:tcMar>
              <w:top w:w="20" w:type="nil"/>
              <w:left w:w="20" w:type="nil"/>
              <w:bottom w:w="20" w:type="nil"/>
              <w:right w:w="20" w:type="nil"/>
            </w:tcMar>
            <w:vAlign w:val="center"/>
          </w:tcPr>
          <w:p w14:paraId="2742D20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97FEE4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BE5A35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3B8104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07546AA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4C8D3940"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60DA344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2E13599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0.523 </w:t>
            </w:r>
          </w:p>
        </w:tc>
      </w:tr>
      <w:tr w:rsidR="00930BB2" w:rsidRPr="00A20FE7" w14:paraId="33D0ED03" w14:textId="77777777" w:rsidTr="00930BB2">
        <w:tc>
          <w:tcPr>
            <w:tcW w:w="2245" w:type="dxa"/>
            <w:tcMar>
              <w:top w:w="20" w:type="nil"/>
              <w:left w:w="20" w:type="nil"/>
              <w:bottom w:w="20" w:type="nil"/>
              <w:right w:w="20" w:type="nil"/>
            </w:tcMar>
            <w:vAlign w:val="center"/>
          </w:tcPr>
          <w:p w14:paraId="107E2860"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SNEL - LEC </w:t>
            </w:r>
          </w:p>
        </w:tc>
        <w:tc>
          <w:tcPr>
            <w:tcW w:w="700" w:type="dxa"/>
            <w:tcMar>
              <w:top w:w="20" w:type="nil"/>
              <w:left w:w="20" w:type="nil"/>
              <w:bottom w:w="20" w:type="nil"/>
              <w:right w:w="20" w:type="nil"/>
            </w:tcMar>
            <w:vAlign w:val="center"/>
          </w:tcPr>
          <w:p w14:paraId="52DFA937"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696B819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0.199</w:t>
            </w:r>
          </w:p>
        </w:tc>
        <w:tc>
          <w:tcPr>
            <w:tcW w:w="700" w:type="dxa"/>
            <w:tcMar>
              <w:top w:w="20" w:type="nil"/>
              <w:left w:w="20" w:type="nil"/>
              <w:bottom w:w="20" w:type="nil"/>
              <w:right w:w="20" w:type="nil"/>
            </w:tcMar>
            <w:vAlign w:val="center"/>
          </w:tcPr>
          <w:p w14:paraId="5C584DA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2A910C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AF4C8A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BC38BC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27D5758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4309C28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6877DD9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97D37C2"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0.623 </w:t>
            </w:r>
          </w:p>
        </w:tc>
      </w:tr>
      <w:tr w:rsidR="00930BB2" w:rsidRPr="00A20FE7" w14:paraId="056B02D9" w14:textId="77777777" w:rsidTr="00930BB2">
        <w:tc>
          <w:tcPr>
            <w:tcW w:w="2245" w:type="dxa"/>
            <w:tcMar>
              <w:top w:w="20" w:type="nil"/>
              <w:left w:w="20" w:type="nil"/>
              <w:bottom w:w="20" w:type="nil"/>
              <w:right w:w="20" w:type="nil"/>
            </w:tcMar>
            <w:vAlign w:val="center"/>
          </w:tcPr>
          <w:p w14:paraId="71215644"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SNEL - HCB </w:t>
            </w:r>
          </w:p>
        </w:tc>
        <w:tc>
          <w:tcPr>
            <w:tcW w:w="700" w:type="dxa"/>
            <w:tcMar>
              <w:top w:w="20" w:type="nil"/>
              <w:left w:w="20" w:type="nil"/>
              <w:bottom w:w="20" w:type="nil"/>
              <w:right w:w="20" w:type="nil"/>
            </w:tcMar>
            <w:vAlign w:val="center"/>
          </w:tcPr>
          <w:p w14:paraId="26F7682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C63D7A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D558EB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651DDC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3DB5CB1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23D53B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0.137</w:t>
            </w:r>
          </w:p>
        </w:tc>
        <w:tc>
          <w:tcPr>
            <w:tcW w:w="700" w:type="dxa"/>
            <w:tcMar>
              <w:top w:w="20" w:type="nil"/>
              <w:left w:w="20" w:type="nil"/>
              <w:bottom w:w="20" w:type="nil"/>
              <w:right w:w="20" w:type="nil"/>
            </w:tcMar>
            <w:vAlign w:val="center"/>
          </w:tcPr>
          <w:p w14:paraId="05C1D1A7"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7794A74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1CE2DED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468C0A11"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0.352 </w:t>
            </w:r>
          </w:p>
        </w:tc>
      </w:tr>
      <w:tr w:rsidR="00930BB2" w:rsidRPr="00A20FE7" w14:paraId="11D7A98D" w14:textId="77777777" w:rsidTr="00930BB2">
        <w:tc>
          <w:tcPr>
            <w:tcW w:w="2245" w:type="dxa"/>
            <w:tcMar>
              <w:top w:w="20" w:type="nil"/>
              <w:left w:w="20" w:type="nil"/>
              <w:bottom w:w="20" w:type="nil"/>
              <w:right w:w="20" w:type="nil"/>
            </w:tcMar>
            <w:vAlign w:val="center"/>
          </w:tcPr>
          <w:p w14:paraId="7558FC0C"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SNEL - EDM_S </w:t>
            </w:r>
          </w:p>
        </w:tc>
        <w:tc>
          <w:tcPr>
            <w:tcW w:w="700" w:type="dxa"/>
            <w:tcMar>
              <w:top w:w="20" w:type="nil"/>
              <w:left w:w="20" w:type="nil"/>
              <w:bottom w:w="20" w:type="nil"/>
              <w:right w:w="20" w:type="nil"/>
            </w:tcMar>
            <w:vAlign w:val="center"/>
          </w:tcPr>
          <w:p w14:paraId="71CA418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7741E5A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0.137</w:t>
            </w:r>
          </w:p>
        </w:tc>
        <w:tc>
          <w:tcPr>
            <w:tcW w:w="700" w:type="dxa"/>
            <w:tcMar>
              <w:top w:w="20" w:type="nil"/>
              <w:left w:w="20" w:type="nil"/>
              <w:bottom w:w="20" w:type="nil"/>
              <w:right w:w="20" w:type="nil"/>
            </w:tcMar>
            <w:vAlign w:val="center"/>
          </w:tcPr>
          <w:p w14:paraId="3615699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E80281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58F8FB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2F8A304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636B2633"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20A56FE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05C2068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7F80F8D9"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0.565 </w:t>
            </w:r>
          </w:p>
        </w:tc>
      </w:tr>
      <w:tr w:rsidR="00930BB2" w:rsidRPr="00A20FE7" w14:paraId="09DA9788" w14:textId="77777777" w:rsidTr="00930BB2">
        <w:tc>
          <w:tcPr>
            <w:tcW w:w="2245" w:type="dxa"/>
            <w:tcMar>
              <w:top w:w="20" w:type="nil"/>
              <w:left w:w="20" w:type="nil"/>
              <w:bottom w:w="20" w:type="nil"/>
              <w:right w:w="20" w:type="nil"/>
            </w:tcMar>
            <w:vAlign w:val="center"/>
          </w:tcPr>
          <w:p w14:paraId="19903E7F" w14:textId="77777777" w:rsidR="00040479" w:rsidRPr="00A20FE7" w:rsidRDefault="00930BB2" w:rsidP="00550B33">
            <w:pPr>
              <w:autoSpaceDE w:val="0"/>
              <w:autoSpaceDN w:val="0"/>
              <w:adjustRightInd w:val="0"/>
              <w:spacing w:after="0" w:line="240" w:lineRule="atLeast"/>
              <w:jc w:val="left"/>
              <w:rPr>
                <w:rFonts w:ascii="Times" w:hAnsi="Times" w:cs="Times"/>
                <w:color w:val="000000"/>
                <w:sz w:val="18"/>
                <w:szCs w:val="18"/>
                <w:lang w:bidi="hi-IN"/>
              </w:rPr>
            </w:pPr>
            <w:r>
              <w:rPr>
                <w:rFonts w:cs="Arial"/>
                <w:color w:val="000000"/>
                <w:sz w:val="18"/>
                <w:szCs w:val="18"/>
                <w:lang w:bidi="hi-IN"/>
              </w:rPr>
              <w:t xml:space="preserve">SNEL </w:t>
            </w:r>
            <w:r w:rsidR="00040479" w:rsidRPr="00A20FE7">
              <w:rPr>
                <w:rFonts w:cs="Arial"/>
                <w:color w:val="000000"/>
                <w:sz w:val="18"/>
                <w:szCs w:val="18"/>
                <w:lang w:bidi="hi-IN"/>
              </w:rPr>
              <w:t>-</w:t>
            </w:r>
            <w:r>
              <w:rPr>
                <w:rFonts w:cs="Arial"/>
                <w:color w:val="000000"/>
                <w:sz w:val="18"/>
                <w:szCs w:val="18"/>
                <w:lang w:bidi="hi-IN"/>
              </w:rPr>
              <w:t xml:space="preserve"> </w:t>
            </w:r>
            <w:r w:rsidR="00040479" w:rsidRPr="00A20FE7">
              <w:rPr>
                <w:rFonts w:cs="Arial"/>
                <w:color w:val="000000"/>
                <w:sz w:val="18"/>
                <w:szCs w:val="18"/>
                <w:lang w:bidi="hi-IN"/>
              </w:rPr>
              <w:t xml:space="preserve">NamPower (Zambezi) </w:t>
            </w:r>
          </w:p>
        </w:tc>
        <w:tc>
          <w:tcPr>
            <w:tcW w:w="700" w:type="dxa"/>
            <w:tcMar>
              <w:top w:w="20" w:type="nil"/>
              <w:left w:w="20" w:type="nil"/>
              <w:bottom w:w="20" w:type="nil"/>
              <w:right w:w="20" w:type="nil"/>
            </w:tcMar>
            <w:vAlign w:val="center"/>
          </w:tcPr>
          <w:p w14:paraId="4DBA516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FD27A6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8AF411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660467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67B8DB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CF9249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CFE612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0.087</w:t>
            </w:r>
          </w:p>
        </w:tc>
        <w:tc>
          <w:tcPr>
            <w:tcW w:w="700" w:type="dxa"/>
            <w:tcMar>
              <w:top w:w="20" w:type="nil"/>
              <w:left w:w="20" w:type="nil"/>
              <w:bottom w:w="20" w:type="nil"/>
              <w:right w:w="20" w:type="nil"/>
            </w:tcMar>
            <w:vAlign w:val="center"/>
          </w:tcPr>
          <w:p w14:paraId="05E28910"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0.026</w:t>
            </w:r>
          </w:p>
        </w:tc>
        <w:tc>
          <w:tcPr>
            <w:tcW w:w="700" w:type="dxa"/>
            <w:tcMar>
              <w:top w:w="20" w:type="nil"/>
              <w:left w:w="20" w:type="nil"/>
              <w:bottom w:w="20" w:type="nil"/>
              <w:right w:w="20" w:type="nil"/>
            </w:tcMar>
            <w:vAlign w:val="center"/>
          </w:tcPr>
          <w:p w14:paraId="5EB0E78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43AE1EA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0.114 </w:t>
            </w:r>
          </w:p>
        </w:tc>
      </w:tr>
      <w:tr w:rsidR="00930BB2" w:rsidRPr="00A20FE7" w14:paraId="3DB46042" w14:textId="77777777" w:rsidTr="00930BB2">
        <w:tc>
          <w:tcPr>
            <w:tcW w:w="2245" w:type="dxa"/>
            <w:tcMar>
              <w:top w:w="20" w:type="nil"/>
              <w:left w:w="20" w:type="nil"/>
              <w:bottom w:w="20" w:type="nil"/>
              <w:right w:w="20" w:type="nil"/>
            </w:tcMar>
            <w:vAlign w:val="center"/>
          </w:tcPr>
          <w:p w14:paraId="21F3EBFD"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ZESCO - BPC </w:t>
            </w:r>
          </w:p>
        </w:tc>
        <w:tc>
          <w:tcPr>
            <w:tcW w:w="700" w:type="dxa"/>
            <w:tcMar>
              <w:top w:w="20" w:type="nil"/>
              <w:left w:w="20" w:type="nil"/>
              <w:bottom w:w="20" w:type="nil"/>
              <w:right w:w="20" w:type="nil"/>
            </w:tcMar>
            <w:vAlign w:val="center"/>
          </w:tcPr>
          <w:p w14:paraId="25B1098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3C63D0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71F307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293550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9316A1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7C00D4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4DCA78F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B8EA41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A391D4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C26205C"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0.189 </w:t>
            </w:r>
          </w:p>
        </w:tc>
      </w:tr>
      <w:tr w:rsidR="00930BB2" w:rsidRPr="00A20FE7" w14:paraId="632746CD" w14:textId="77777777" w:rsidTr="00930BB2">
        <w:tc>
          <w:tcPr>
            <w:tcW w:w="2245" w:type="dxa"/>
            <w:tcMar>
              <w:top w:w="20" w:type="nil"/>
              <w:left w:w="20" w:type="nil"/>
              <w:bottom w:w="20" w:type="nil"/>
              <w:right w:w="20" w:type="nil"/>
            </w:tcMar>
            <w:vAlign w:val="center"/>
          </w:tcPr>
          <w:p w14:paraId="4BDDA0F6"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ZESCO - BPC via 220 kV </w:t>
            </w:r>
          </w:p>
        </w:tc>
        <w:tc>
          <w:tcPr>
            <w:tcW w:w="700" w:type="dxa"/>
            <w:tcMar>
              <w:top w:w="20" w:type="nil"/>
              <w:left w:w="20" w:type="nil"/>
              <w:bottom w:w="20" w:type="nil"/>
              <w:right w:w="20" w:type="nil"/>
            </w:tcMar>
            <w:vAlign w:val="center"/>
          </w:tcPr>
          <w:p w14:paraId="1074E72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FD5226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E94C13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BC492F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F47454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C3A9BE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0.135</w:t>
            </w:r>
          </w:p>
        </w:tc>
        <w:tc>
          <w:tcPr>
            <w:tcW w:w="700" w:type="dxa"/>
            <w:tcMar>
              <w:top w:w="20" w:type="nil"/>
              <w:left w:w="20" w:type="nil"/>
              <w:bottom w:w="20" w:type="nil"/>
              <w:right w:w="20" w:type="nil"/>
            </w:tcMar>
            <w:vAlign w:val="center"/>
          </w:tcPr>
          <w:p w14:paraId="2F7C9DB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ABBBF1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F9F8D8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7048320"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0.135 </w:t>
            </w:r>
          </w:p>
        </w:tc>
      </w:tr>
      <w:tr w:rsidR="00930BB2" w:rsidRPr="00A20FE7" w14:paraId="1FD4AB0A" w14:textId="77777777" w:rsidTr="00930BB2">
        <w:tc>
          <w:tcPr>
            <w:tcW w:w="2245" w:type="dxa"/>
            <w:tcMar>
              <w:top w:w="20" w:type="nil"/>
              <w:left w:w="20" w:type="nil"/>
              <w:bottom w:w="20" w:type="nil"/>
              <w:right w:w="20" w:type="nil"/>
            </w:tcMar>
            <w:vAlign w:val="center"/>
          </w:tcPr>
          <w:p w14:paraId="74D4210D"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ZESCO - ESKOM </w:t>
            </w:r>
          </w:p>
        </w:tc>
        <w:tc>
          <w:tcPr>
            <w:tcW w:w="700" w:type="dxa"/>
            <w:tcMar>
              <w:top w:w="20" w:type="nil"/>
              <w:left w:w="20" w:type="nil"/>
              <w:bottom w:w="20" w:type="nil"/>
              <w:right w:w="20" w:type="nil"/>
            </w:tcMar>
            <w:vAlign w:val="center"/>
          </w:tcPr>
          <w:p w14:paraId="0904F63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0.006</w:t>
            </w:r>
          </w:p>
        </w:tc>
        <w:tc>
          <w:tcPr>
            <w:tcW w:w="700" w:type="dxa"/>
            <w:tcMar>
              <w:top w:w="20" w:type="nil"/>
              <w:left w:w="20" w:type="nil"/>
              <w:bottom w:w="20" w:type="nil"/>
              <w:right w:w="20" w:type="nil"/>
            </w:tcMar>
            <w:vAlign w:val="center"/>
          </w:tcPr>
          <w:p w14:paraId="1E669DF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1C785A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E5ECE2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617856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F64EAE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3D95564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51B7C8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A85B46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66673121"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0.195 </w:t>
            </w:r>
          </w:p>
        </w:tc>
      </w:tr>
      <w:tr w:rsidR="00930BB2" w:rsidRPr="00A20FE7" w14:paraId="52CB7357" w14:textId="77777777" w:rsidTr="00930BB2">
        <w:tc>
          <w:tcPr>
            <w:tcW w:w="2245" w:type="dxa"/>
            <w:tcMar>
              <w:top w:w="20" w:type="nil"/>
              <w:left w:w="20" w:type="nil"/>
              <w:bottom w:w="20" w:type="nil"/>
              <w:right w:w="20" w:type="nil"/>
            </w:tcMar>
            <w:vAlign w:val="center"/>
          </w:tcPr>
          <w:p w14:paraId="3CB24F43"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ZESCO - NAMPOWER </w:t>
            </w:r>
          </w:p>
        </w:tc>
        <w:tc>
          <w:tcPr>
            <w:tcW w:w="700" w:type="dxa"/>
            <w:tcMar>
              <w:top w:w="20" w:type="nil"/>
              <w:left w:w="20" w:type="nil"/>
              <w:bottom w:w="20" w:type="nil"/>
              <w:right w:w="20" w:type="nil"/>
            </w:tcMar>
            <w:vAlign w:val="center"/>
          </w:tcPr>
          <w:p w14:paraId="1F9792C3"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14E5F90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0.261</w:t>
            </w:r>
          </w:p>
        </w:tc>
        <w:tc>
          <w:tcPr>
            <w:tcW w:w="700" w:type="dxa"/>
            <w:tcMar>
              <w:top w:w="20" w:type="nil"/>
              <w:left w:w="20" w:type="nil"/>
              <w:bottom w:w="20" w:type="nil"/>
              <w:right w:w="20" w:type="nil"/>
            </w:tcMar>
            <w:vAlign w:val="center"/>
          </w:tcPr>
          <w:p w14:paraId="558ECE7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292A38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E989A7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F6B471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4193E2A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169EBB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784B24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78B8561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0.502 </w:t>
            </w:r>
          </w:p>
        </w:tc>
      </w:tr>
      <w:tr w:rsidR="00930BB2" w:rsidRPr="00A20FE7" w14:paraId="66D45347" w14:textId="77777777" w:rsidTr="00930BB2">
        <w:tc>
          <w:tcPr>
            <w:tcW w:w="2245" w:type="dxa"/>
            <w:tcMar>
              <w:top w:w="20" w:type="nil"/>
              <w:left w:w="20" w:type="nil"/>
              <w:bottom w:w="20" w:type="nil"/>
              <w:right w:w="20" w:type="nil"/>
            </w:tcMar>
            <w:vAlign w:val="center"/>
          </w:tcPr>
          <w:p w14:paraId="6214B96E"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ZESCO - SEC </w:t>
            </w:r>
          </w:p>
        </w:tc>
        <w:tc>
          <w:tcPr>
            <w:tcW w:w="700" w:type="dxa"/>
            <w:tcMar>
              <w:top w:w="20" w:type="nil"/>
              <w:left w:w="20" w:type="nil"/>
              <w:bottom w:w="20" w:type="nil"/>
              <w:right w:w="20" w:type="nil"/>
            </w:tcMar>
            <w:vAlign w:val="center"/>
          </w:tcPr>
          <w:p w14:paraId="501A8F3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25F5448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0.100</w:t>
            </w:r>
          </w:p>
        </w:tc>
        <w:tc>
          <w:tcPr>
            <w:tcW w:w="700" w:type="dxa"/>
            <w:tcMar>
              <w:top w:w="20" w:type="nil"/>
              <w:left w:w="20" w:type="nil"/>
              <w:bottom w:w="20" w:type="nil"/>
              <w:right w:w="20" w:type="nil"/>
            </w:tcMar>
            <w:vAlign w:val="center"/>
          </w:tcPr>
          <w:p w14:paraId="4D52486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8AF959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309BDD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7C46C4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657A6F6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50FADB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586FD6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06B4F2D4"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0.340 </w:t>
            </w:r>
          </w:p>
        </w:tc>
      </w:tr>
      <w:tr w:rsidR="00930BB2" w:rsidRPr="00A20FE7" w14:paraId="6A00C632" w14:textId="77777777" w:rsidTr="00930BB2">
        <w:tc>
          <w:tcPr>
            <w:tcW w:w="2245" w:type="dxa"/>
            <w:tcMar>
              <w:top w:w="20" w:type="nil"/>
              <w:left w:w="20" w:type="nil"/>
              <w:bottom w:w="20" w:type="nil"/>
              <w:right w:w="20" w:type="nil"/>
            </w:tcMar>
            <w:vAlign w:val="center"/>
          </w:tcPr>
          <w:p w14:paraId="7A8BC7B2"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ZESCO - LEC </w:t>
            </w:r>
          </w:p>
        </w:tc>
        <w:tc>
          <w:tcPr>
            <w:tcW w:w="700" w:type="dxa"/>
            <w:tcMar>
              <w:top w:w="20" w:type="nil"/>
              <w:left w:w="20" w:type="nil"/>
              <w:bottom w:w="20" w:type="nil"/>
              <w:right w:w="20" w:type="nil"/>
            </w:tcMar>
            <w:vAlign w:val="center"/>
          </w:tcPr>
          <w:p w14:paraId="5F78EFF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3D9BFF0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0.199</w:t>
            </w:r>
          </w:p>
        </w:tc>
        <w:tc>
          <w:tcPr>
            <w:tcW w:w="700" w:type="dxa"/>
            <w:tcMar>
              <w:top w:w="20" w:type="nil"/>
              <w:left w:w="20" w:type="nil"/>
              <w:bottom w:w="20" w:type="nil"/>
              <w:right w:w="20" w:type="nil"/>
            </w:tcMar>
            <w:vAlign w:val="center"/>
          </w:tcPr>
          <w:p w14:paraId="2494616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B69716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731479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894B317"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0BA7528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D15980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075101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15F819C1"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0.440 </w:t>
            </w:r>
          </w:p>
        </w:tc>
      </w:tr>
      <w:tr w:rsidR="00930BB2" w:rsidRPr="00A20FE7" w14:paraId="5C02C26B" w14:textId="77777777" w:rsidTr="00930BB2">
        <w:tc>
          <w:tcPr>
            <w:tcW w:w="2245" w:type="dxa"/>
            <w:tcMar>
              <w:top w:w="20" w:type="nil"/>
              <w:left w:w="20" w:type="nil"/>
              <w:bottom w:w="20" w:type="nil"/>
              <w:right w:w="20" w:type="nil"/>
            </w:tcMar>
            <w:vAlign w:val="center"/>
          </w:tcPr>
          <w:p w14:paraId="3AC05823"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ZESCO - HCB / EDM_N </w:t>
            </w:r>
          </w:p>
        </w:tc>
        <w:tc>
          <w:tcPr>
            <w:tcW w:w="700" w:type="dxa"/>
            <w:tcMar>
              <w:top w:w="20" w:type="nil"/>
              <w:left w:w="20" w:type="nil"/>
              <w:bottom w:w="20" w:type="nil"/>
              <w:right w:w="20" w:type="nil"/>
            </w:tcMar>
            <w:vAlign w:val="center"/>
          </w:tcPr>
          <w:p w14:paraId="000206B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8C95A3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F9632B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02381A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3D32875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67FD97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0.138</w:t>
            </w:r>
          </w:p>
        </w:tc>
        <w:tc>
          <w:tcPr>
            <w:tcW w:w="700" w:type="dxa"/>
            <w:tcMar>
              <w:top w:w="20" w:type="nil"/>
              <w:left w:w="20" w:type="nil"/>
              <w:bottom w:w="20" w:type="nil"/>
              <w:right w:w="20" w:type="nil"/>
            </w:tcMar>
            <w:vAlign w:val="center"/>
          </w:tcPr>
          <w:p w14:paraId="01C7A76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36D816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B09BFE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40140B50"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0.170 </w:t>
            </w:r>
          </w:p>
        </w:tc>
      </w:tr>
      <w:tr w:rsidR="00930BB2" w:rsidRPr="00A20FE7" w14:paraId="4330B249" w14:textId="77777777" w:rsidTr="00930BB2">
        <w:tc>
          <w:tcPr>
            <w:tcW w:w="2245" w:type="dxa"/>
            <w:tcMar>
              <w:top w:w="20" w:type="nil"/>
              <w:left w:w="20" w:type="nil"/>
              <w:bottom w:w="20" w:type="nil"/>
              <w:right w:w="20" w:type="nil"/>
            </w:tcMar>
            <w:vAlign w:val="center"/>
          </w:tcPr>
          <w:p w14:paraId="70E97236"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ZESCO - EDM_S </w:t>
            </w:r>
          </w:p>
        </w:tc>
        <w:tc>
          <w:tcPr>
            <w:tcW w:w="700" w:type="dxa"/>
            <w:tcMar>
              <w:top w:w="20" w:type="nil"/>
              <w:left w:w="20" w:type="nil"/>
              <w:bottom w:w="20" w:type="nil"/>
              <w:right w:w="20" w:type="nil"/>
            </w:tcMar>
            <w:vAlign w:val="center"/>
          </w:tcPr>
          <w:p w14:paraId="46CF7EA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213B6C7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0.137</w:t>
            </w:r>
          </w:p>
        </w:tc>
        <w:tc>
          <w:tcPr>
            <w:tcW w:w="700" w:type="dxa"/>
            <w:tcMar>
              <w:top w:w="20" w:type="nil"/>
              <w:left w:w="20" w:type="nil"/>
              <w:bottom w:w="20" w:type="nil"/>
              <w:right w:w="20" w:type="nil"/>
            </w:tcMar>
            <w:vAlign w:val="center"/>
          </w:tcPr>
          <w:p w14:paraId="7FBD053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17E161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D21C3E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0366199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7EF07C0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AD4533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E896A4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28BF0507"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0.382 </w:t>
            </w:r>
          </w:p>
        </w:tc>
      </w:tr>
      <w:tr w:rsidR="00930BB2" w:rsidRPr="00A20FE7" w14:paraId="6BF3222D" w14:textId="77777777" w:rsidTr="00930BB2">
        <w:tc>
          <w:tcPr>
            <w:tcW w:w="2245" w:type="dxa"/>
            <w:tcMar>
              <w:top w:w="20" w:type="nil"/>
              <w:left w:w="20" w:type="nil"/>
              <w:bottom w:w="20" w:type="nil"/>
              <w:right w:w="20" w:type="nil"/>
            </w:tcMar>
            <w:vAlign w:val="center"/>
          </w:tcPr>
          <w:p w14:paraId="3E348511"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ZESCO - ESKOM via CAPRIVI </w:t>
            </w:r>
          </w:p>
        </w:tc>
        <w:tc>
          <w:tcPr>
            <w:tcW w:w="700" w:type="dxa"/>
            <w:tcMar>
              <w:top w:w="20" w:type="nil"/>
              <w:left w:w="20" w:type="nil"/>
              <w:bottom w:w="20" w:type="nil"/>
              <w:right w:w="20" w:type="nil"/>
            </w:tcMar>
            <w:vAlign w:val="center"/>
          </w:tcPr>
          <w:p w14:paraId="7FE1C24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2E612B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F693E9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393ED1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CFB864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85C87A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0CDBEC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01DBF3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303CE3C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0.351</w:t>
            </w:r>
          </w:p>
        </w:tc>
        <w:tc>
          <w:tcPr>
            <w:tcW w:w="990" w:type="dxa"/>
            <w:tcMar>
              <w:top w:w="20" w:type="nil"/>
              <w:left w:w="20" w:type="nil"/>
              <w:bottom w:w="20" w:type="nil"/>
              <w:right w:w="20" w:type="nil"/>
            </w:tcMar>
            <w:vAlign w:val="center"/>
          </w:tcPr>
          <w:p w14:paraId="2AFAA0AF"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0.351 </w:t>
            </w:r>
          </w:p>
        </w:tc>
      </w:tr>
      <w:tr w:rsidR="00930BB2" w:rsidRPr="00A20FE7" w14:paraId="577EBFE7" w14:textId="77777777" w:rsidTr="00930BB2">
        <w:tc>
          <w:tcPr>
            <w:tcW w:w="2245" w:type="dxa"/>
            <w:tcMar>
              <w:top w:w="20" w:type="nil"/>
              <w:left w:w="20" w:type="nil"/>
              <w:bottom w:w="20" w:type="nil"/>
              <w:right w:w="20" w:type="nil"/>
            </w:tcMar>
            <w:vAlign w:val="center"/>
          </w:tcPr>
          <w:p w14:paraId="697318EC"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ZESA - ESKOM </w:t>
            </w:r>
          </w:p>
        </w:tc>
        <w:tc>
          <w:tcPr>
            <w:tcW w:w="700" w:type="dxa"/>
            <w:tcMar>
              <w:top w:w="20" w:type="nil"/>
              <w:left w:w="20" w:type="nil"/>
              <w:bottom w:w="20" w:type="nil"/>
              <w:right w:w="20" w:type="nil"/>
            </w:tcMar>
            <w:vAlign w:val="center"/>
          </w:tcPr>
          <w:p w14:paraId="7F900A3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0.006</w:t>
            </w:r>
          </w:p>
        </w:tc>
        <w:tc>
          <w:tcPr>
            <w:tcW w:w="700" w:type="dxa"/>
            <w:tcMar>
              <w:top w:w="20" w:type="nil"/>
              <w:left w:w="20" w:type="nil"/>
              <w:bottom w:w="20" w:type="nil"/>
              <w:right w:w="20" w:type="nil"/>
            </w:tcMar>
            <w:vAlign w:val="center"/>
          </w:tcPr>
          <w:p w14:paraId="53E5FE0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94F6F8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776096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6535DD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7445F3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504C35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2C62FE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828883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15FE4A8D"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0.006 </w:t>
            </w:r>
          </w:p>
        </w:tc>
      </w:tr>
      <w:tr w:rsidR="00930BB2" w:rsidRPr="00A20FE7" w14:paraId="44FA2034" w14:textId="77777777" w:rsidTr="00930BB2">
        <w:tc>
          <w:tcPr>
            <w:tcW w:w="2245" w:type="dxa"/>
            <w:tcMar>
              <w:top w:w="20" w:type="nil"/>
              <w:left w:w="20" w:type="nil"/>
              <w:bottom w:w="20" w:type="nil"/>
              <w:right w:w="20" w:type="nil"/>
            </w:tcMar>
            <w:vAlign w:val="center"/>
          </w:tcPr>
          <w:p w14:paraId="3494F6D2"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ZESA - NAMPOWER </w:t>
            </w:r>
          </w:p>
        </w:tc>
        <w:tc>
          <w:tcPr>
            <w:tcW w:w="700" w:type="dxa"/>
            <w:tcMar>
              <w:top w:w="20" w:type="nil"/>
              <w:left w:w="20" w:type="nil"/>
              <w:bottom w:w="20" w:type="nil"/>
              <w:right w:w="20" w:type="nil"/>
            </w:tcMar>
            <w:vAlign w:val="center"/>
          </w:tcPr>
          <w:p w14:paraId="51CD95A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56F40150"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0.261</w:t>
            </w:r>
          </w:p>
        </w:tc>
        <w:tc>
          <w:tcPr>
            <w:tcW w:w="700" w:type="dxa"/>
            <w:tcMar>
              <w:top w:w="20" w:type="nil"/>
              <w:left w:w="20" w:type="nil"/>
              <w:bottom w:w="20" w:type="nil"/>
              <w:right w:w="20" w:type="nil"/>
            </w:tcMar>
            <w:vAlign w:val="center"/>
          </w:tcPr>
          <w:p w14:paraId="69E3306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BC3DCA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3F5676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88BFD9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D8C14F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20C5D4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F62828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136F8F8"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0.313 </w:t>
            </w:r>
          </w:p>
        </w:tc>
      </w:tr>
      <w:tr w:rsidR="00930BB2" w:rsidRPr="00A20FE7" w14:paraId="5304A997" w14:textId="77777777" w:rsidTr="00930BB2">
        <w:tc>
          <w:tcPr>
            <w:tcW w:w="2245" w:type="dxa"/>
            <w:tcMar>
              <w:top w:w="20" w:type="nil"/>
              <w:left w:w="20" w:type="nil"/>
              <w:bottom w:w="20" w:type="nil"/>
              <w:right w:w="20" w:type="nil"/>
            </w:tcMar>
            <w:vAlign w:val="center"/>
          </w:tcPr>
          <w:p w14:paraId="4AB24A20"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ZESA - SEC </w:t>
            </w:r>
          </w:p>
        </w:tc>
        <w:tc>
          <w:tcPr>
            <w:tcW w:w="700" w:type="dxa"/>
            <w:tcMar>
              <w:top w:w="20" w:type="nil"/>
              <w:left w:w="20" w:type="nil"/>
              <w:bottom w:w="20" w:type="nil"/>
              <w:right w:w="20" w:type="nil"/>
            </w:tcMar>
            <w:vAlign w:val="center"/>
          </w:tcPr>
          <w:p w14:paraId="34D2824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0ADD5AD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0.100</w:t>
            </w:r>
          </w:p>
        </w:tc>
        <w:tc>
          <w:tcPr>
            <w:tcW w:w="700" w:type="dxa"/>
            <w:tcMar>
              <w:top w:w="20" w:type="nil"/>
              <w:left w:w="20" w:type="nil"/>
              <w:bottom w:w="20" w:type="nil"/>
              <w:right w:w="20" w:type="nil"/>
            </w:tcMar>
            <w:vAlign w:val="center"/>
          </w:tcPr>
          <w:p w14:paraId="68F239D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FA23AE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DBBBB6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610B9A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AAE284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64C475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759D81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3CC4552E"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0.151 </w:t>
            </w:r>
          </w:p>
        </w:tc>
      </w:tr>
      <w:tr w:rsidR="00930BB2" w:rsidRPr="00A20FE7" w14:paraId="6C4AD5F8" w14:textId="77777777" w:rsidTr="00930BB2">
        <w:tc>
          <w:tcPr>
            <w:tcW w:w="2245" w:type="dxa"/>
            <w:tcMar>
              <w:top w:w="20" w:type="nil"/>
              <w:left w:w="20" w:type="nil"/>
              <w:bottom w:w="20" w:type="nil"/>
              <w:right w:w="20" w:type="nil"/>
            </w:tcMar>
            <w:vAlign w:val="center"/>
          </w:tcPr>
          <w:p w14:paraId="74EAE490"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ZESA - LEC </w:t>
            </w:r>
          </w:p>
        </w:tc>
        <w:tc>
          <w:tcPr>
            <w:tcW w:w="700" w:type="dxa"/>
            <w:tcMar>
              <w:top w:w="20" w:type="nil"/>
              <w:left w:w="20" w:type="nil"/>
              <w:bottom w:w="20" w:type="nil"/>
              <w:right w:w="20" w:type="nil"/>
            </w:tcMar>
            <w:vAlign w:val="center"/>
          </w:tcPr>
          <w:p w14:paraId="724F58E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69137C9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0.199</w:t>
            </w:r>
          </w:p>
        </w:tc>
        <w:tc>
          <w:tcPr>
            <w:tcW w:w="700" w:type="dxa"/>
            <w:tcMar>
              <w:top w:w="20" w:type="nil"/>
              <w:left w:w="20" w:type="nil"/>
              <w:bottom w:w="20" w:type="nil"/>
              <w:right w:w="20" w:type="nil"/>
            </w:tcMar>
            <w:vAlign w:val="center"/>
          </w:tcPr>
          <w:p w14:paraId="2B9FE73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07585C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7997BC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62F723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53E774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872FF4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EB8969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2A752CF7"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0.251 </w:t>
            </w:r>
          </w:p>
        </w:tc>
      </w:tr>
      <w:tr w:rsidR="00930BB2" w:rsidRPr="00A20FE7" w14:paraId="36201970" w14:textId="77777777" w:rsidTr="00930BB2">
        <w:tc>
          <w:tcPr>
            <w:tcW w:w="2245" w:type="dxa"/>
            <w:tcMar>
              <w:top w:w="20" w:type="nil"/>
              <w:left w:w="20" w:type="nil"/>
              <w:bottom w:w="20" w:type="nil"/>
              <w:right w:w="20" w:type="nil"/>
            </w:tcMar>
            <w:vAlign w:val="center"/>
          </w:tcPr>
          <w:p w14:paraId="0DFF8DEC"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ZESA - EDM_S </w:t>
            </w:r>
          </w:p>
        </w:tc>
        <w:tc>
          <w:tcPr>
            <w:tcW w:w="700" w:type="dxa"/>
            <w:tcMar>
              <w:top w:w="20" w:type="nil"/>
              <w:left w:w="20" w:type="nil"/>
              <w:bottom w:w="20" w:type="nil"/>
              <w:right w:w="20" w:type="nil"/>
            </w:tcMar>
            <w:vAlign w:val="center"/>
          </w:tcPr>
          <w:p w14:paraId="1FF44FE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7AAA417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0.137</w:t>
            </w:r>
          </w:p>
        </w:tc>
        <w:tc>
          <w:tcPr>
            <w:tcW w:w="700" w:type="dxa"/>
            <w:tcMar>
              <w:top w:w="20" w:type="nil"/>
              <w:left w:w="20" w:type="nil"/>
              <w:bottom w:w="20" w:type="nil"/>
              <w:right w:w="20" w:type="nil"/>
            </w:tcMar>
            <w:vAlign w:val="center"/>
          </w:tcPr>
          <w:p w14:paraId="709E1EF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D16AE2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A236EC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6C5D77B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8C6CD3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DBBD57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9F8A38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22A52F9B"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0.193 </w:t>
            </w:r>
          </w:p>
        </w:tc>
      </w:tr>
      <w:tr w:rsidR="00930BB2" w:rsidRPr="00A20FE7" w14:paraId="6CBA3D54" w14:textId="77777777" w:rsidTr="00930BB2">
        <w:tc>
          <w:tcPr>
            <w:tcW w:w="2245" w:type="dxa"/>
            <w:tcMar>
              <w:top w:w="20" w:type="nil"/>
              <w:left w:w="20" w:type="nil"/>
              <w:bottom w:w="20" w:type="nil"/>
              <w:right w:w="20" w:type="nil"/>
            </w:tcMar>
            <w:vAlign w:val="center"/>
          </w:tcPr>
          <w:p w14:paraId="087CA626"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ZESA - SNEL </w:t>
            </w:r>
          </w:p>
        </w:tc>
        <w:tc>
          <w:tcPr>
            <w:tcW w:w="700" w:type="dxa"/>
            <w:tcMar>
              <w:top w:w="20" w:type="nil"/>
              <w:left w:w="20" w:type="nil"/>
              <w:bottom w:w="20" w:type="nil"/>
              <w:right w:w="20" w:type="nil"/>
            </w:tcMar>
            <w:vAlign w:val="center"/>
          </w:tcPr>
          <w:p w14:paraId="30FEA5B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4285A3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B1A9A3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69A474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7AE5EB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773809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5192E5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1212D73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77D7CB4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2C9F0CC9"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0.183 </w:t>
            </w:r>
          </w:p>
        </w:tc>
      </w:tr>
      <w:tr w:rsidR="00930BB2" w:rsidRPr="00A20FE7" w14:paraId="33C599A7" w14:textId="77777777" w:rsidTr="00930BB2">
        <w:tc>
          <w:tcPr>
            <w:tcW w:w="2245" w:type="dxa"/>
            <w:tcMar>
              <w:top w:w="20" w:type="nil"/>
              <w:left w:w="20" w:type="nil"/>
              <w:bottom w:w="20" w:type="nil"/>
              <w:right w:w="20" w:type="nil"/>
            </w:tcMar>
            <w:vAlign w:val="center"/>
          </w:tcPr>
          <w:p w14:paraId="3FCFB634"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lastRenderedPageBreak/>
              <w:t xml:space="preserve">ZESA - NamPower (Zambezi) </w:t>
            </w:r>
          </w:p>
        </w:tc>
        <w:tc>
          <w:tcPr>
            <w:tcW w:w="700" w:type="dxa"/>
            <w:tcMar>
              <w:top w:w="20" w:type="nil"/>
              <w:left w:w="20" w:type="nil"/>
              <w:bottom w:w="20" w:type="nil"/>
              <w:right w:w="20" w:type="nil"/>
            </w:tcMar>
            <w:vAlign w:val="center"/>
          </w:tcPr>
          <w:p w14:paraId="1E8DB7F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DD6643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4CFF07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848040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DD0613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E2EED9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495DE64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0.016</w:t>
            </w:r>
          </w:p>
        </w:tc>
        <w:tc>
          <w:tcPr>
            <w:tcW w:w="700" w:type="dxa"/>
            <w:tcMar>
              <w:top w:w="20" w:type="nil"/>
              <w:left w:w="20" w:type="nil"/>
              <w:bottom w:w="20" w:type="nil"/>
              <w:right w:w="20" w:type="nil"/>
            </w:tcMar>
            <w:vAlign w:val="center"/>
          </w:tcPr>
          <w:p w14:paraId="325796D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541C12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269B6D87"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0.016 </w:t>
            </w:r>
          </w:p>
        </w:tc>
      </w:tr>
      <w:tr w:rsidR="00930BB2" w:rsidRPr="00A20FE7" w14:paraId="02E4A752" w14:textId="77777777" w:rsidTr="00930BB2">
        <w:tc>
          <w:tcPr>
            <w:tcW w:w="2245" w:type="dxa"/>
            <w:tcMar>
              <w:top w:w="20" w:type="nil"/>
              <w:left w:w="20" w:type="nil"/>
              <w:bottom w:w="20" w:type="nil"/>
              <w:right w:w="20" w:type="nil"/>
            </w:tcMar>
            <w:vAlign w:val="center"/>
          </w:tcPr>
          <w:p w14:paraId="3EA46BB1"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BPC - ZESCO </w:t>
            </w:r>
          </w:p>
        </w:tc>
        <w:tc>
          <w:tcPr>
            <w:tcW w:w="700" w:type="dxa"/>
            <w:tcMar>
              <w:top w:w="20" w:type="nil"/>
              <w:left w:w="20" w:type="nil"/>
              <w:bottom w:w="20" w:type="nil"/>
              <w:right w:w="20" w:type="nil"/>
            </w:tcMar>
            <w:vAlign w:val="center"/>
          </w:tcPr>
          <w:p w14:paraId="44C43ED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7AB9A4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D4A0C9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CD1567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5EFF99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247CDB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67AB724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74C836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D5A16A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423F7C2"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0.189 </w:t>
            </w:r>
          </w:p>
        </w:tc>
      </w:tr>
      <w:tr w:rsidR="00930BB2" w:rsidRPr="00A20FE7" w14:paraId="7178B170" w14:textId="77777777" w:rsidTr="00930BB2">
        <w:tc>
          <w:tcPr>
            <w:tcW w:w="2245" w:type="dxa"/>
            <w:tcMar>
              <w:top w:w="20" w:type="nil"/>
              <w:left w:w="20" w:type="nil"/>
              <w:bottom w:w="20" w:type="nil"/>
              <w:right w:w="20" w:type="nil"/>
            </w:tcMar>
            <w:vAlign w:val="center"/>
          </w:tcPr>
          <w:p w14:paraId="18F3A01A"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BPC - SNEL </w:t>
            </w:r>
          </w:p>
        </w:tc>
        <w:tc>
          <w:tcPr>
            <w:tcW w:w="700" w:type="dxa"/>
            <w:tcMar>
              <w:top w:w="20" w:type="nil"/>
              <w:left w:w="20" w:type="nil"/>
              <w:bottom w:w="20" w:type="nil"/>
              <w:right w:w="20" w:type="nil"/>
            </w:tcMar>
            <w:vAlign w:val="center"/>
          </w:tcPr>
          <w:p w14:paraId="5551B87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B1EDF3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A64F72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E69536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9B25D6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AB62C5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79CF92A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2B398EA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5A222D8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6C3968DC"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0.372 </w:t>
            </w:r>
          </w:p>
        </w:tc>
      </w:tr>
      <w:tr w:rsidR="00930BB2" w:rsidRPr="00A20FE7" w14:paraId="021ADE55" w14:textId="77777777" w:rsidTr="00930BB2">
        <w:tc>
          <w:tcPr>
            <w:tcW w:w="2245" w:type="dxa"/>
            <w:tcMar>
              <w:top w:w="20" w:type="nil"/>
              <w:left w:w="20" w:type="nil"/>
              <w:bottom w:w="20" w:type="nil"/>
              <w:right w:w="20" w:type="nil"/>
            </w:tcMar>
            <w:vAlign w:val="center"/>
          </w:tcPr>
          <w:p w14:paraId="3E3BF6B8"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BPC - NAMPOWER </w:t>
            </w:r>
          </w:p>
        </w:tc>
        <w:tc>
          <w:tcPr>
            <w:tcW w:w="700" w:type="dxa"/>
            <w:tcMar>
              <w:top w:w="20" w:type="nil"/>
              <w:left w:w="20" w:type="nil"/>
              <w:bottom w:w="20" w:type="nil"/>
              <w:right w:w="20" w:type="nil"/>
            </w:tcMar>
            <w:vAlign w:val="center"/>
          </w:tcPr>
          <w:p w14:paraId="1D74D36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5DDDE3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0.261</w:t>
            </w:r>
          </w:p>
        </w:tc>
        <w:tc>
          <w:tcPr>
            <w:tcW w:w="700" w:type="dxa"/>
            <w:tcMar>
              <w:top w:w="20" w:type="nil"/>
              <w:left w:w="20" w:type="nil"/>
              <w:bottom w:w="20" w:type="nil"/>
              <w:right w:w="20" w:type="nil"/>
            </w:tcMar>
            <w:vAlign w:val="center"/>
          </w:tcPr>
          <w:p w14:paraId="4BA3DE9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89F408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07BC75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79C6E2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73B154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0AB29D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171050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7DADB4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0.261 </w:t>
            </w:r>
          </w:p>
        </w:tc>
      </w:tr>
      <w:tr w:rsidR="00930BB2" w:rsidRPr="00A20FE7" w14:paraId="4FD2AAA0" w14:textId="77777777" w:rsidTr="00930BB2">
        <w:tc>
          <w:tcPr>
            <w:tcW w:w="2245" w:type="dxa"/>
            <w:tcMar>
              <w:top w:w="20" w:type="nil"/>
              <w:left w:w="20" w:type="nil"/>
              <w:bottom w:w="20" w:type="nil"/>
              <w:right w:w="20" w:type="nil"/>
            </w:tcMar>
            <w:vAlign w:val="center"/>
          </w:tcPr>
          <w:p w14:paraId="5BD00472"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BPC - SEC </w:t>
            </w:r>
          </w:p>
        </w:tc>
        <w:tc>
          <w:tcPr>
            <w:tcW w:w="700" w:type="dxa"/>
            <w:tcMar>
              <w:top w:w="20" w:type="nil"/>
              <w:left w:w="20" w:type="nil"/>
              <w:bottom w:w="20" w:type="nil"/>
              <w:right w:w="20" w:type="nil"/>
            </w:tcMar>
            <w:vAlign w:val="center"/>
          </w:tcPr>
          <w:p w14:paraId="564771A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DDF847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0.100</w:t>
            </w:r>
          </w:p>
        </w:tc>
        <w:tc>
          <w:tcPr>
            <w:tcW w:w="700" w:type="dxa"/>
            <w:tcMar>
              <w:top w:w="20" w:type="nil"/>
              <w:left w:w="20" w:type="nil"/>
              <w:bottom w:w="20" w:type="nil"/>
              <w:right w:w="20" w:type="nil"/>
            </w:tcMar>
            <w:vAlign w:val="center"/>
          </w:tcPr>
          <w:p w14:paraId="52E95B3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D5D173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75132D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119087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867E38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490816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6C0C0E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7BB4529F"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0.100 </w:t>
            </w:r>
          </w:p>
        </w:tc>
      </w:tr>
      <w:tr w:rsidR="00930BB2" w:rsidRPr="00A20FE7" w14:paraId="096C5C69" w14:textId="77777777" w:rsidTr="00930BB2">
        <w:tc>
          <w:tcPr>
            <w:tcW w:w="2245" w:type="dxa"/>
            <w:tcMar>
              <w:top w:w="20" w:type="nil"/>
              <w:left w:w="20" w:type="nil"/>
              <w:bottom w:w="20" w:type="nil"/>
              <w:right w:w="20" w:type="nil"/>
            </w:tcMar>
            <w:vAlign w:val="center"/>
          </w:tcPr>
          <w:p w14:paraId="5FE8A88B"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BPC - LEC </w:t>
            </w:r>
          </w:p>
        </w:tc>
        <w:tc>
          <w:tcPr>
            <w:tcW w:w="700" w:type="dxa"/>
            <w:tcMar>
              <w:top w:w="20" w:type="nil"/>
              <w:left w:w="20" w:type="nil"/>
              <w:bottom w:w="20" w:type="nil"/>
              <w:right w:w="20" w:type="nil"/>
            </w:tcMar>
            <w:vAlign w:val="center"/>
          </w:tcPr>
          <w:p w14:paraId="7B96D65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4A93BB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0.199</w:t>
            </w:r>
          </w:p>
        </w:tc>
        <w:tc>
          <w:tcPr>
            <w:tcW w:w="700" w:type="dxa"/>
            <w:tcMar>
              <w:top w:w="20" w:type="nil"/>
              <w:left w:w="20" w:type="nil"/>
              <w:bottom w:w="20" w:type="nil"/>
              <w:right w:w="20" w:type="nil"/>
            </w:tcMar>
            <w:vAlign w:val="center"/>
          </w:tcPr>
          <w:p w14:paraId="4B63D3C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FC0A1B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C09695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01BD3E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69C0FF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C1D5D8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D9A1AB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C000FD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0.199 </w:t>
            </w:r>
          </w:p>
        </w:tc>
      </w:tr>
      <w:tr w:rsidR="00930BB2" w:rsidRPr="00A20FE7" w14:paraId="15FFD69E" w14:textId="77777777" w:rsidTr="00930BB2">
        <w:tc>
          <w:tcPr>
            <w:tcW w:w="2245" w:type="dxa"/>
            <w:tcMar>
              <w:top w:w="20" w:type="nil"/>
              <w:left w:w="20" w:type="nil"/>
              <w:bottom w:w="20" w:type="nil"/>
              <w:right w:w="20" w:type="nil"/>
            </w:tcMar>
            <w:vAlign w:val="center"/>
          </w:tcPr>
          <w:p w14:paraId="1D21EF8E"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BPC - HCB </w:t>
            </w:r>
          </w:p>
        </w:tc>
        <w:tc>
          <w:tcPr>
            <w:tcW w:w="700" w:type="dxa"/>
            <w:tcMar>
              <w:top w:w="20" w:type="nil"/>
              <w:left w:w="20" w:type="nil"/>
              <w:bottom w:w="20" w:type="nil"/>
              <w:right w:w="20" w:type="nil"/>
            </w:tcMar>
            <w:vAlign w:val="center"/>
          </w:tcPr>
          <w:p w14:paraId="39EFD20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05966A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0C313A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6D55CA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1250905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37BD53D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7546EFF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D71D1A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2846FD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3DC3A78E"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0.254 </w:t>
            </w:r>
          </w:p>
        </w:tc>
      </w:tr>
      <w:tr w:rsidR="00930BB2" w:rsidRPr="00A20FE7" w14:paraId="26EB2D6F" w14:textId="77777777" w:rsidTr="00930BB2">
        <w:tc>
          <w:tcPr>
            <w:tcW w:w="2245" w:type="dxa"/>
            <w:tcMar>
              <w:top w:w="20" w:type="nil"/>
              <w:left w:w="20" w:type="nil"/>
              <w:bottom w:w="20" w:type="nil"/>
              <w:right w:w="20" w:type="nil"/>
            </w:tcMar>
            <w:vAlign w:val="center"/>
          </w:tcPr>
          <w:p w14:paraId="12D931AF"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BPC - EDM_S </w:t>
            </w:r>
          </w:p>
        </w:tc>
        <w:tc>
          <w:tcPr>
            <w:tcW w:w="700" w:type="dxa"/>
            <w:tcMar>
              <w:top w:w="20" w:type="nil"/>
              <w:left w:w="20" w:type="nil"/>
              <w:bottom w:w="20" w:type="nil"/>
              <w:right w:w="20" w:type="nil"/>
            </w:tcMar>
            <w:vAlign w:val="center"/>
          </w:tcPr>
          <w:p w14:paraId="3153C89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642FD4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0.137</w:t>
            </w:r>
          </w:p>
        </w:tc>
        <w:tc>
          <w:tcPr>
            <w:tcW w:w="700" w:type="dxa"/>
            <w:tcMar>
              <w:top w:w="20" w:type="nil"/>
              <w:left w:w="20" w:type="nil"/>
              <w:bottom w:w="20" w:type="nil"/>
              <w:right w:w="20" w:type="nil"/>
            </w:tcMar>
            <w:vAlign w:val="center"/>
          </w:tcPr>
          <w:p w14:paraId="02FC78E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AB5CD4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B9083C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121BF3C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56429F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EAB525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D83548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024EDFC5"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0.141 </w:t>
            </w:r>
          </w:p>
        </w:tc>
      </w:tr>
      <w:tr w:rsidR="00930BB2" w:rsidRPr="00A20FE7" w14:paraId="48D6F283" w14:textId="77777777" w:rsidTr="00930BB2">
        <w:tc>
          <w:tcPr>
            <w:tcW w:w="2245" w:type="dxa"/>
            <w:tcMar>
              <w:top w:w="20" w:type="nil"/>
              <w:left w:w="20" w:type="nil"/>
              <w:bottom w:w="20" w:type="nil"/>
              <w:right w:w="20" w:type="nil"/>
            </w:tcMar>
            <w:vAlign w:val="center"/>
          </w:tcPr>
          <w:p w14:paraId="273ABCE4"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ESKOM - ZESA </w:t>
            </w:r>
          </w:p>
        </w:tc>
        <w:tc>
          <w:tcPr>
            <w:tcW w:w="700" w:type="dxa"/>
            <w:tcMar>
              <w:top w:w="20" w:type="nil"/>
              <w:left w:w="20" w:type="nil"/>
              <w:bottom w:w="20" w:type="nil"/>
              <w:right w:w="20" w:type="nil"/>
            </w:tcMar>
            <w:vAlign w:val="center"/>
          </w:tcPr>
          <w:p w14:paraId="136D3ED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0.006</w:t>
            </w:r>
          </w:p>
        </w:tc>
        <w:tc>
          <w:tcPr>
            <w:tcW w:w="700" w:type="dxa"/>
            <w:tcMar>
              <w:top w:w="20" w:type="nil"/>
              <w:left w:w="20" w:type="nil"/>
              <w:bottom w:w="20" w:type="nil"/>
              <w:right w:w="20" w:type="nil"/>
            </w:tcMar>
            <w:vAlign w:val="center"/>
          </w:tcPr>
          <w:p w14:paraId="6110609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C55B02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E53D6A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15FBD7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0F5039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297343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DB9CCB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BF0241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46A5270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0.006 </w:t>
            </w:r>
          </w:p>
        </w:tc>
      </w:tr>
      <w:tr w:rsidR="00930BB2" w:rsidRPr="00A20FE7" w14:paraId="27FA9E12" w14:textId="77777777" w:rsidTr="00930BB2">
        <w:tc>
          <w:tcPr>
            <w:tcW w:w="2245" w:type="dxa"/>
            <w:tcMar>
              <w:top w:w="20" w:type="nil"/>
              <w:left w:w="20" w:type="nil"/>
              <w:bottom w:w="20" w:type="nil"/>
              <w:right w:w="20" w:type="nil"/>
            </w:tcMar>
            <w:vAlign w:val="center"/>
          </w:tcPr>
          <w:p w14:paraId="7922638D"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ESKOM - ZESCO </w:t>
            </w:r>
          </w:p>
        </w:tc>
        <w:tc>
          <w:tcPr>
            <w:tcW w:w="700" w:type="dxa"/>
            <w:tcMar>
              <w:top w:w="20" w:type="nil"/>
              <w:left w:w="20" w:type="nil"/>
              <w:bottom w:w="20" w:type="nil"/>
              <w:right w:w="20" w:type="nil"/>
            </w:tcMar>
            <w:vAlign w:val="center"/>
          </w:tcPr>
          <w:p w14:paraId="375221D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64EA0F0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250318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989C12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4C46B6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E587A7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3360498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FF2AA4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B7A0EA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4491C9E1"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0.240 </w:t>
            </w:r>
          </w:p>
        </w:tc>
      </w:tr>
      <w:tr w:rsidR="00930BB2" w:rsidRPr="00A20FE7" w14:paraId="00C9CD71" w14:textId="77777777" w:rsidTr="00930BB2">
        <w:tc>
          <w:tcPr>
            <w:tcW w:w="2245" w:type="dxa"/>
            <w:tcMar>
              <w:top w:w="20" w:type="nil"/>
              <w:left w:w="20" w:type="nil"/>
              <w:bottom w:w="20" w:type="nil"/>
              <w:right w:w="20" w:type="nil"/>
            </w:tcMar>
            <w:vAlign w:val="center"/>
          </w:tcPr>
          <w:p w14:paraId="548EF081"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ESKOM - SNEL </w:t>
            </w:r>
          </w:p>
        </w:tc>
        <w:tc>
          <w:tcPr>
            <w:tcW w:w="700" w:type="dxa"/>
            <w:tcMar>
              <w:top w:w="20" w:type="nil"/>
              <w:left w:w="20" w:type="nil"/>
              <w:bottom w:w="20" w:type="nil"/>
              <w:right w:w="20" w:type="nil"/>
            </w:tcMar>
            <w:vAlign w:val="center"/>
          </w:tcPr>
          <w:p w14:paraId="0AAD682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398120C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9D2EA6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B782EA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CA30C2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615BFD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4B6E1B4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5A199A7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23484E2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27EB1678"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0.423 </w:t>
            </w:r>
          </w:p>
        </w:tc>
      </w:tr>
      <w:tr w:rsidR="00930BB2" w:rsidRPr="00A20FE7" w14:paraId="0D8FF73A" w14:textId="77777777" w:rsidTr="00930BB2">
        <w:tc>
          <w:tcPr>
            <w:tcW w:w="2245" w:type="dxa"/>
            <w:tcMar>
              <w:top w:w="20" w:type="nil"/>
              <w:left w:w="20" w:type="nil"/>
              <w:bottom w:w="20" w:type="nil"/>
              <w:right w:w="20" w:type="nil"/>
            </w:tcMar>
            <w:vAlign w:val="center"/>
          </w:tcPr>
          <w:p w14:paraId="58DB2557"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ESKOM - HCB </w:t>
            </w:r>
          </w:p>
        </w:tc>
        <w:tc>
          <w:tcPr>
            <w:tcW w:w="700" w:type="dxa"/>
            <w:tcMar>
              <w:top w:w="20" w:type="nil"/>
              <w:left w:w="20" w:type="nil"/>
              <w:bottom w:w="20" w:type="nil"/>
              <w:right w:w="20" w:type="nil"/>
            </w:tcMar>
            <w:vAlign w:val="center"/>
          </w:tcPr>
          <w:p w14:paraId="6A346AC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77F1100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600140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C0C978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0A1DC0D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327B541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4054DBD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283259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C4510A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109DB75C"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0.305 </w:t>
            </w:r>
          </w:p>
        </w:tc>
      </w:tr>
      <w:tr w:rsidR="00930BB2" w:rsidRPr="00A20FE7" w14:paraId="0B744D56" w14:textId="77777777" w:rsidTr="00930BB2">
        <w:tc>
          <w:tcPr>
            <w:tcW w:w="2245" w:type="dxa"/>
            <w:tcMar>
              <w:top w:w="20" w:type="nil"/>
              <w:left w:w="20" w:type="nil"/>
              <w:bottom w:w="20" w:type="nil"/>
              <w:right w:w="20" w:type="nil"/>
            </w:tcMar>
            <w:vAlign w:val="center"/>
          </w:tcPr>
          <w:p w14:paraId="670C2563"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ESKOM - SEC </w:t>
            </w:r>
          </w:p>
        </w:tc>
        <w:tc>
          <w:tcPr>
            <w:tcW w:w="700" w:type="dxa"/>
            <w:tcMar>
              <w:top w:w="20" w:type="nil"/>
              <w:left w:w="20" w:type="nil"/>
              <w:bottom w:w="20" w:type="nil"/>
              <w:right w:w="20" w:type="nil"/>
            </w:tcMar>
            <w:vAlign w:val="center"/>
          </w:tcPr>
          <w:p w14:paraId="5803457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08BF14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3B3A92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0.010</w:t>
            </w:r>
          </w:p>
        </w:tc>
        <w:tc>
          <w:tcPr>
            <w:tcW w:w="700" w:type="dxa"/>
            <w:tcMar>
              <w:top w:w="20" w:type="nil"/>
              <w:left w:w="20" w:type="nil"/>
              <w:bottom w:w="20" w:type="nil"/>
              <w:right w:w="20" w:type="nil"/>
            </w:tcMar>
            <w:vAlign w:val="center"/>
          </w:tcPr>
          <w:p w14:paraId="7E6D02C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7105C5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9B268F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C71A7E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F42BFB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EC1291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63533DBC"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0.010 </w:t>
            </w:r>
          </w:p>
        </w:tc>
      </w:tr>
      <w:tr w:rsidR="00930BB2" w:rsidRPr="00A20FE7" w14:paraId="23EF18AB" w14:textId="77777777" w:rsidTr="00930BB2">
        <w:tc>
          <w:tcPr>
            <w:tcW w:w="2245" w:type="dxa"/>
            <w:tcMar>
              <w:top w:w="20" w:type="nil"/>
              <w:left w:w="20" w:type="nil"/>
              <w:bottom w:w="20" w:type="nil"/>
              <w:right w:w="20" w:type="nil"/>
            </w:tcMar>
            <w:vAlign w:val="center"/>
          </w:tcPr>
          <w:p w14:paraId="07C78F46"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ESKOM - EDMS </w:t>
            </w:r>
          </w:p>
        </w:tc>
        <w:tc>
          <w:tcPr>
            <w:tcW w:w="700" w:type="dxa"/>
            <w:tcMar>
              <w:top w:w="20" w:type="nil"/>
              <w:left w:w="20" w:type="nil"/>
              <w:bottom w:w="20" w:type="nil"/>
              <w:right w:w="20" w:type="nil"/>
            </w:tcMar>
            <w:vAlign w:val="center"/>
          </w:tcPr>
          <w:p w14:paraId="0DD0184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340C10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638E8F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04E9FB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351A7E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7EA3889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2BBAE6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51E32A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28B1CD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2DDD7570"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0.004 </w:t>
            </w:r>
          </w:p>
        </w:tc>
      </w:tr>
      <w:tr w:rsidR="00930BB2" w:rsidRPr="00A20FE7" w14:paraId="60BE7C8B" w14:textId="77777777" w:rsidTr="00930BB2">
        <w:tc>
          <w:tcPr>
            <w:tcW w:w="2245" w:type="dxa"/>
            <w:tcMar>
              <w:top w:w="20" w:type="nil"/>
              <w:left w:w="20" w:type="nil"/>
              <w:bottom w:w="20" w:type="nil"/>
              <w:right w:w="20" w:type="nil"/>
            </w:tcMar>
            <w:vAlign w:val="center"/>
          </w:tcPr>
          <w:p w14:paraId="26920D79"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NAMPOWER - SNEL </w:t>
            </w:r>
          </w:p>
        </w:tc>
        <w:tc>
          <w:tcPr>
            <w:tcW w:w="700" w:type="dxa"/>
            <w:tcMar>
              <w:top w:w="20" w:type="nil"/>
              <w:left w:w="20" w:type="nil"/>
              <w:bottom w:w="20" w:type="nil"/>
              <w:right w:w="20" w:type="nil"/>
            </w:tcMar>
            <w:vAlign w:val="center"/>
          </w:tcPr>
          <w:p w14:paraId="4C1B9B0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5A16F44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0.261</w:t>
            </w:r>
          </w:p>
        </w:tc>
        <w:tc>
          <w:tcPr>
            <w:tcW w:w="700" w:type="dxa"/>
            <w:tcMar>
              <w:top w:w="20" w:type="nil"/>
              <w:left w:w="20" w:type="nil"/>
              <w:bottom w:w="20" w:type="nil"/>
              <w:right w:w="20" w:type="nil"/>
            </w:tcMar>
            <w:vAlign w:val="center"/>
          </w:tcPr>
          <w:p w14:paraId="3DA5D2A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D8F5DD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00F965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1063E0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37873B0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59F09897"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7E1ACE4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6567F8BE"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0.685 </w:t>
            </w:r>
          </w:p>
        </w:tc>
      </w:tr>
      <w:tr w:rsidR="00930BB2" w:rsidRPr="00A20FE7" w14:paraId="4273D1A2" w14:textId="77777777" w:rsidTr="00930BB2">
        <w:tc>
          <w:tcPr>
            <w:tcW w:w="2245" w:type="dxa"/>
            <w:tcMar>
              <w:top w:w="20" w:type="nil"/>
              <w:left w:w="20" w:type="nil"/>
              <w:bottom w:w="20" w:type="nil"/>
              <w:right w:w="20" w:type="nil"/>
            </w:tcMar>
            <w:vAlign w:val="center"/>
          </w:tcPr>
          <w:p w14:paraId="06BCD371"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NAMPOWER - ZESCO </w:t>
            </w:r>
          </w:p>
        </w:tc>
        <w:tc>
          <w:tcPr>
            <w:tcW w:w="700" w:type="dxa"/>
            <w:tcMar>
              <w:top w:w="20" w:type="nil"/>
              <w:left w:w="20" w:type="nil"/>
              <w:bottom w:w="20" w:type="nil"/>
              <w:right w:w="20" w:type="nil"/>
            </w:tcMar>
            <w:vAlign w:val="center"/>
          </w:tcPr>
          <w:p w14:paraId="15083B9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77E2E9C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0.261</w:t>
            </w:r>
          </w:p>
        </w:tc>
        <w:tc>
          <w:tcPr>
            <w:tcW w:w="700" w:type="dxa"/>
            <w:tcMar>
              <w:top w:w="20" w:type="nil"/>
              <w:left w:w="20" w:type="nil"/>
              <w:bottom w:w="20" w:type="nil"/>
              <w:right w:w="20" w:type="nil"/>
            </w:tcMar>
            <w:vAlign w:val="center"/>
          </w:tcPr>
          <w:p w14:paraId="572F033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19ADD9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D340C2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00C2F84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52BB99F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20EF20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267AC3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2E45AFBE"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0.502 </w:t>
            </w:r>
          </w:p>
        </w:tc>
      </w:tr>
      <w:tr w:rsidR="00930BB2" w:rsidRPr="00A20FE7" w14:paraId="1C2850D9" w14:textId="77777777" w:rsidTr="00930BB2">
        <w:tc>
          <w:tcPr>
            <w:tcW w:w="2245" w:type="dxa"/>
            <w:tcMar>
              <w:top w:w="20" w:type="nil"/>
              <w:left w:w="20" w:type="nil"/>
              <w:bottom w:w="20" w:type="nil"/>
              <w:right w:w="20" w:type="nil"/>
            </w:tcMar>
            <w:vAlign w:val="center"/>
          </w:tcPr>
          <w:p w14:paraId="703E03DF"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NAMPOWER - ZESA </w:t>
            </w:r>
          </w:p>
        </w:tc>
        <w:tc>
          <w:tcPr>
            <w:tcW w:w="700" w:type="dxa"/>
            <w:tcMar>
              <w:top w:w="20" w:type="nil"/>
              <w:left w:w="20" w:type="nil"/>
              <w:bottom w:w="20" w:type="nil"/>
              <w:right w:w="20" w:type="nil"/>
            </w:tcMar>
            <w:vAlign w:val="center"/>
          </w:tcPr>
          <w:p w14:paraId="162781E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0.006</w:t>
            </w:r>
          </w:p>
        </w:tc>
        <w:tc>
          <w:tcPr>
            <w:tcW w:w="700" w:type="dxa"/>
            <w:tcMar>
              <w:top w:w="20" w:type="nil"/>
              <w:left w:w="20" w:type="nil"/>
              <w:bottom w:w="20" w:type="nil"/>
              <w:right w:w="20" w:type="nil"/>
            </w:tcMar>
            <w:vAlign w:val="center"/>
          </w:tcPr>
          <w:p w14:paraId="04AFCA40"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0.261</w:t>
            </w:r>
          </w:p>
        </w:tc>
        <w:tc>
          <w:tcPr>
            <w:tcW w:w="700" w:type="dxa"/>
            <w:tcMar>
              <w:top w:w="20" w:type="nil"/>
              <w:left w:w="20" w:type="nil"/>
              <w:bottom w:w="20" w:type="nil"/>
              <w:right w:w="20" w:type="nil"/>
            </w:tcMar>
            <w:vAlign w:val="center"/>
          </w:tcPr>
          <w:p w14:paraId="66EE9D5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B17E7C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F22B15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0F9B1A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621B1E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5B2E16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A7D26C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7E44456D"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0.267 </w:t>
            </w:r>
          </w:p>
        </w:tc>
      </w:tr>
      <w:tr w:rsidR="00930BB2" w:rsidRPr="00A20FE7" w14:paraId="01065E4E" w14:textId="77777777" w:rsidTr="00930BB2">
        <w:tc>
          <w:tcPr>
            <w:tcW w:w="2245" w:type="dxa"/>
            <w:tcMar>
              <w:top w:w="20" w:type="nil"/>
              <w:left w:w="20" w:type="nil"/>
              <w:bottom w:w="20" w:type="nil"/>
              <w:right w:w="20" w:type="nil"/>
            </w:tcMar>
            <w:vAlign w:val="center"/>
          </w:tcPr>
          <w:p w14:paraId="51B25E30"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NAMPOWER - BPC </w:t>
            </w:r>
          </w:p>
        </w:tc>
        <w:tc>
          <w:tcPr>
            <w:tcW w:w="700" w:type="dxa"/>
            <w:tcMar>
              <w:top w:w="20" w:type="nil"/>
              <w:left w:w="20" w:type="nil"/>
              <w:bottom w:w="20" w:type="nil"/>
              <w:right w:w="20" w:type="nil"/>
            </w:tcMar>
            <w:vAlign w:val="center"/>
          </w:tcPr>
          <w:p w14:paraId="42D42A9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0736DF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0.261</w:t>
            </w:r>
          </w:p>
        </w:tc>
        <w:tc>
          <w:tcPr>
            <w:tcW w:w="700" w:type="dxa"/>
            <w:tcMar>
              <w:top w:w="20" w:type="nil"/>
              <w:left w:w="20" w:type="nil"/>
              <w:bottom w:w="20" w:type="nil"/>
              <w:right w:w="20" w:type="nil"/>
            </w:tcMar>
            <w:vAlign w:val="center"/>
          </w:tcPr>
          <w:p w14:paraId="474ED85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6CEC7F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5D93AD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9B2750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E41BA6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A9A031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174C62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37E255E7"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0.261 </w:t>
            </w:r>
          </w:p>
        </w:tc>
      </w:tr>
      <w:tr w:rsidR="00930BB2" w:rsidRPr="00A20FE7" w14:paraId="1870664D" w14:textId="77777777" w:rsidTr="00930BB2">
        <w:tc>
          <w:tcPr>
            <w:tcW w:w="2245" w:type="dxa"/>
            <w:tcMar>
              <w:top w:w="20" w:type="nil"/>
              <w:left w:w="20" w:type="nil"/>
              <w:bottom w:w="20" w:type="nil"/>
              <w:right w:w="20" w:type="nil"/>
            </w:tcMar>
            <w:vAlign w:val="center"/>
          </w:tcPr>
          <w:p w14:paraId="6C5C9293"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NAMPOWER - SEC </w:t>
            </w:r>
          </w:p>
        </w:tc>
        <w:tc>
          <w:tcPr>
            <w:tcW w:w="700" w:type="dxa"/>
            <w:tcMar>
              <w:top w:w="20" w:type="nil"/>
              <w:left w:w="20" w:type="nil"/>
              <w:bottom w:w="20" w:type="nil"/>
              <w:right w:w="20" w:type="nil"/>
            </w:tcMar>
            <w:vAlign w:val="center"/>
          </w:tcPr>
          <w:p w14:paraId="3670131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499C203"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0.204</w:t>
            </w:r>
          </w:p>
        </w:tc>
        <w:tc>
          <w:tcPr>
            <w:tcW w:w="700" w:type="dxa"/>
            <w:tcMar>
              <w:top w:w="20" w:type="nil"/>
              <w:left w:w="20" w:type="nil"/>
              <w:bottom w:w="20" w:type="nil"/>
              <w:right w:w="20" w:type="nil"/>
            </w:tcMar>
            <w:vAlign w:val="center"/>
          </w:tcPr>
          <w:p w14:paraId="19B4A05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1780CB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58D6E0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DC3B5D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82335F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9DA4E8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70345F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39F1188"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0.204 </w:t>
            </w:r>
          </w:p>
        </w:tc>
      </w:tr>
      <w:tr w:rsidR="00930BB2" w:rsidRPr="00A20FE7" w14:paraId="2D62CF71" w14:textId="77777777" w:rsidTr="00930BB2">
        <w:tc>
          <w:tcPr>
            <w:tcW w:w="2245" w:type="dxa"/>
            <w:tcMar>
              <w:top w:w="20" w:type="nil"/>
              <w:left w:w="20" w:type="nil"/>
              <w:bottom w:w="20" w:type="nil"/>
              <w:right w:w="20" w:type="nil"/>
            </w:tcMar>
            <w:vAlign w:val="center"/>
          </w:tcPr>
          <w:p w14:paraId="2B114DEC"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NAMPOWER - LEC </w:t>
            </w:r>
          </w:p>
        </w:tc>
        <w:tc>
          <w:tcPr>
            <w:tcW w:w="700" w:type="dxa"/>
            <w:tcMar>
              <w:top w:w="20" w:type="nil"/>
              <w:left w:w="20" w:type="nil"/>
              <w:bottom w:w="20" w:type="nil"/>
              <w:right w:w="20" w:type="nil"/>
            </w:tcMar>
            <w:vAlign w:val="center"/>
          </w:tcPr>
          <w:p w14:paraId="51E7282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BFD578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0.204</w:t>
            </w:r>
          </w:p>
        </w:tc>
        <w:tc>
          <w:tcPr>
            <w:tcW w:w="700" w:type="dxa"/>
            <w:tcMar>
              <w:top w:w="20" w:type="nil"/>
              <w:left w:w="20" w:type="nil"/>
              <w:bottom w:w="20" w:type="nil"/>
              <w:right w:w="20" w:type="nil"/>
            </w:tcMar>
            <w:vAlign w:val="center"/>
          </w:tcPr>
          <w:p w14:paraId="3114E38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969EFC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01FE26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23C9B9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A29254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788DF1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8E2CF8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003FDF3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0.204 </w:t>
            </w:r>
          </w:p>
        </w:tc>
      </w:tr>
      <w:tr w:rsidR="00930BB2" w:rsidRPr="00A20FE7" w14:paraId="43E31EAF" w14:textId="77777777" w:rsidTr="00930BB2">
        <w:tc>
          <w:tcPr>
            <w:tcW w:w="2245" w:type="dxa"/>
            <w:tcMar>
              <w:top w:w="20" w:type="nil"/>
              <w:left w:w="20" w:type="nil"/>
              <w:bottom w:w="20" w:type="nil"/>
              <w:right w:w="20" w:type="nil"/>
            </w:tcMar>
            <w:vAlign w:val="center"/>
          </w:tcPr>
          <w:p w14:paraId="42BCFE10"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NAMPOWER - HCB </w:t>
            </w:r>
          </w:p>
        </w:tc>
        <w:tc>
          <w:tcPr>
            <w:tcW w:w="700" w:type="dxa"/>
            <w:tcMar>
              <w:top w:w="20" w:type="nil"/>
              <w:left w:w="20" w:type="nil"/>
              <w:bottom w:w="20" w:type="nil"/>
              <w:right w:w="20" w:type="nil"/>
            </w:tcMar>
            <w:vAlign w:val="center"/>
          </w:tcPr>
          <w:p w14:paraId="676B962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256B8CE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0.261</w:t>
            </w:r>
          </w:p>
        </w:tc>
        <w:tc>
          <w:tcPr>
            <w:tcW w:w="700" w:type="dxa"/>
            <w:tcMar>
              <w:top w:w="20" w:type="nil"/>
              <w:left w:w="20" w:type="nil"/>
              <w:bottom w:w="20" w:type="nil"/>
              <w:right w:w="20" w:type="nil"/>
            </w:tcMar>
            <w:vAlign w:val="center"/>
          </w:tcPr>
          <w:p w14:paraId="2A08C7F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DEB3C7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347BB23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0870D40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6B82E78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7F9483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15335F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004A77D0"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0.566 </w:t>
            </w:r>
          </w:p>
        </w:tc>
      </w:tr>
      <w:tr w:rsidR="00930BB2" w:rsidRPr="00A20FE7" w14:paraId="3CEE7058" w14:textId="77777777" w:rsidTr="00930BB2">
        <w:tc>
          <w:tcPr>
            <w:tcW w:w="2245" w:type="dxa"/>
            <w:tcMar>
              <w:top w:w="20" w:type="nil"/>
              <w:left w:w="20" w:type="nil"/>
              <w:bottom w:w="20" w:type="nil"/>
              <w:right w:w="20" w:type="nil"/>
            </w:tcMar>
            <w:vAlign w:val="center"/>
          </w:tcPr>
          <w:p w14:paraId="7B1CFB49"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NAMPOWER - EDM_S </w:t>
            </w:r>
          </w:p>
        </w:tc>
        <w:tc>
          <w:tcPr>
            <w:tcW w:w="700" w:type="dxa"/>
            <w:tcMar>
              <w:top w:w="20" w:type="nil"/>
              <w:left w:w="20" w:type="nil"/>
              <w:bottom w:w="20" w:type="nil"/>
              <w:right w:w="20" w:type="nil"/>
            </w:tcMar>
            <w:vAlign w:val="center"/>
          </w:tcPr>
          <w:p w14:paraId="21E1145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2D5E19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0.246</w:t>
            </w:r>
          </w:p>
        </w:tc>
        <w:tc>
          <w:tcPr>
            <w:tcW w:w="700" w:type="dxa"/>
            <w:tcMar>
              <w:top w:w="20" w:type="nil"/>
              <w:left w:w="20" w:type="nil"/>
              <w:bottom w:w="20" w:type="nil"/>
              <w:right w:w="20" w:type="nil"/>
            </w:tcMar>
            <w:vAlign w:val="center"/>
          </w:tcPr>
          <w:p w14:paraId="723D0A9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ACD2D4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C4F13E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20BC2CB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E0D06A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4C442A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83CE2F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2DB2A31"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0.250 </w:t>
            </w:r>
          </w:p>
        </w:tc>
      </w:tr>
      <w:tr w:rsidR="00930BB2" w:rsidRPr="00A20FE7" w14:paraId="158880F5" w14:textId="77777777" w:rsidTr="00930BB2">
        <w:tc>
          <w:tcPr>
            <w:tcW w:w="2245" w:type="dxa"/>
            <w:tcMar>
              <w:top w:w="20" w:type="nil"/>
              <w:left w:w="20" w:type="nil"/>
              <w:bottom w:w="20" w:type="nil"/>
              <w:right w:w="20" w:type="nil"/>
            </w:tcMar>
            <w:vAlign w:val="center"/>
          </w:tcPr>
          <w:p w14:paraId="2258B1F1"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NAMPOWER Zambezi - EDM_N </w:t>
            </w:r>
          </w:p>
        </w:tc>
        <w:tc>
          <w:tcPr>
            <w:tcW w:w="700" w:type="dxa"/>
            <w:tcMar>
              <w:top w:w="20" w:type="nil"/>
              <w:left w:w="20" w:type="nil"/>
              <w:bottom w:w="20" w:type="nil"/>
              <w:right w:w="20" w:type="nil"/>
            </w:tcMar>
            <w:vAlign w:val="center"/>
          </w:tcPr>
          <w:p w14:paraId="3FAF397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03BD4E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262AF5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EEDF3F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9B48C7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E7D8D3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0.127</w:t>
            </w:r>
          </w:p>
        </w:tc>
        <w:tc>
          <w:tcPr>
            <w:tcW w:w="700" w:type="dxa"/>
            <w:tcMar>
              <w:top w:w="20" w:type="nil"/>
              <w:left w:w="20" w:type="nil"/>
              <w:bottom w:w="20" w:type="nil"/>
              <w:right w:w="20" w:type="nil"/>
            </w:tcMar>
            <w:vAlign w:val="center"/>
          </w:tcPr>
          <w:p w14:paraId="51A05F7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0.016</w:t>
            </w:r>
          </w:p>
        </w:tc>
        <w:tc>
          <w:tcPr>
            <w:tcW w:w="700" w:type="dxa"/>
            <w:tcMar>
              <w:top w:w="20" w:type="nil"/>
              <w:left w:w="20" w:type="nil"/>
              <w:bottom w:w="20" w:type="nil"/>
              <w:right w:w="20" w:type="nil"/>
            </w:tcMar>
            <w:vAlign w:val="center"/>
          </w:tcPr>
          <w:p w14:paraId="107B06D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AC218D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633F7C18"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0.143 </w:t>
            </w:r>
          </w:p>
        </w:tc>
      </w:tr>
      <w:tr w:rsidR="00930BB2" w:rsidRPr="00A20FE7" w14:paraId="4386CCB6" w14:textId="77777777" w:rsidTr="00930BB2">
        <w:tc>
          <w:tcPr>
            <w:tcW w:w="2245" w:type="dxa"/>
            <w:tcMar>
              <w:top w:w="20" w:type="nil"/>
              <w:left w:w="20" w:type="nil"/>
              <w:bottom w:w="20" w:type="nil"/>
              <w:right w:w="20" w:type="nil"/>
            </w:tcMar>
            <w:vAlign w:val="center"/>
          </w:tcPr>
          <w:p w14:paraId="30C8017C"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HCB - SNEL </w:t>
            </w:r>
          </w:p>
        </w:tc>
        <w:tc>
          <w:tcPr>
            <w:tcW w:w="700" w:type="dxa"/>
            <w:tcMar>
              <w:top w:w="20" w:type="nil"/>
              <w:left w:w="20" w:type="nil"/>
              <w:bottom w:w="20" w:type="nil"/>
              <w:right w:w="20" w:type="nil"/>
            </w:tcMar>
            <w:vAlign w:val="center"/>
          </w:tcPr>
          <w:p w14:paraId="03EDBAA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21E72E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52A164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AA4806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43DE994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DAC0D6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0.138</w:t>
            </w:r>
          </w:p>
        </w:tc>
        <w:tc>
          <w:tcPr>
            <w:tcW w:w="700" w:type="dxa"/>
            <w:tcMar>
              <w:top w:w="20" w:type="nil"/>
              <w:left w:w="20" w:type="nil"/>
              <w:bottom w:w="20" w:type="nil"/>
              <w:right w:w="20" w:type="nil"/>
            </w:tcMar>
            <w:vAlign w:val="center"/>
          </w:tcPr>
          <w:p w14:paraId="5C8B91A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7160381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1355BF6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B9D7B0F"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0.353 </w:t>
            </w:r>
          </w:p>
        </w:tc>
      </w:tr>
      <w:tr w:rsidR="00930BB2" w:rsidRPr="00A20FE7" w14:paraId="4AC32E2D" w14:textId="77777777" w:rsidTr="00930BB2">
        <w:tc>
          <w:tcPr>
            <w:tcW w:w="2245" w:type="dxa"/>
            <w:tcMar>
              <w:top w:w="20" w:type="nil"/>
              <w:left w:w="20" w:type="nil"/>
              <w:bottom w:w="20" w:type="nil"/>
              <w:right w:w="20" w:type="nil"/>
            </w:tcMar>
            <w:vAlign w:val="center"/>
          </w:tcPr>
          <w:p w14:paraId="256828ED"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HCB - ZESCO </w:t>
            </w:r>
          </w:p>
        </w:tc>
        <w:tc>
          <w:tcPr>
            <w:tcW w:w="700" w:type="dxa"/>
            <w:tcMar>
              <w:top w:w="20" w:type="nil"/>
              <w:left w:w="20" w:type="nil"/>
              <w:bottom w:w="20" w:type="nil"/>
              <w:right w:w="20" w:type="nil"/>
            </w:tcMar>
            <w:vAlign w:val="center"/>
          </w:tcPr>
          <w:p w14:paraId="27F6D88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3DD710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1453BE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81724F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2AF3009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76A4BF0"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0.138</w:t>
            </w:r>
          </w:p>
        </w:tc>
        <w:tc>
          <w:tcPr>
            <w:tcW w:w="700" w:type="dxa"/>
            <w:tcMar>
              <w:top w:w="20" w:type="nil"/>
              <w:left w:w="20" w:type="nil"/>
              <w:bottom w:w="20" w:type="nil"/>
              <w:right w:w="20" w:type="nil"/>
            </w:tcMar>
            <w:vAlign w:val="center"/>
          </w:tcPr>
          <w:p w14:paraId="53F0210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E3030D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9CF328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7CD321C3"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0.170 </w:t>
            </w:r>
          </w:p>
        </w:tc>
      </w:tr>
      <w:tr w:rsidR="00930BB2" w:rsidRPr="00A20FE7" w14:paraId="1DB88724" w14:textId="77777777" w:rsidTr="00930BB2">
        <w:tc>
          <w:tcPr>
            <w:tcW w:w="2245" w:type="dxa"/>
            <w:tcMar>
              <w:top w:w="20" w:type="nil"/>
              <w:left w:w="20" w:type="nil"/>
              <w:bottom w:w="20" w:type="nil"/>
              <w:right w:w="20" w:type="nil"/>
            </w:tcMar>
            <w:vAlign w:val="center"/>
          </w:tcPr>
          <w:p w14:paraId="3CCF4366"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HCB - BPC </w:t>
            </w:r>
          </w:p>
        </w:tc>
        <w:tc>
          <w:tcPr>
            <w:tcW w:w="700" w:type="dxa"/>
            <w:tcMar>
              <w:top w:w="20" w:type="nil"/>
              <w:left w:w="20" w:type="nil"/>
              <w:bottom w:w="20" w:type="nil"/>
              <w:right w:w="20" w:type="nil"/>
            </w:tcMar>
            <w:vAlign w:val="center"/>
          </w:tcPr>
          <w:p w14:paraId="76596BB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F86D04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1F2256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1922E9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70135EC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228E4E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65E1F9E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93E306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1D2919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162828F9"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0.254 </w:t>
            </w:r>
          </w:p>
        </w:tc>
      </w:tr>
      <w:tr w:rsidR="00930BB2" w:rsidRPr="00A20FE7" w14:paraId="33D89E14" w14:textId="77777777" w:rsidTr="00930BB2">
        <w:tc>
          <w:tcPr>
            <w:tcW w:w="2245" w:type="dxa"/>
            <w:tcMar>
              <w:top w:w="20" w:type="nil"/>
              <w:left w:w="20" w:type="nil"/>
              <w:bottom w:w="20" w:type="nil"/>
              <w:right w:w="20" w:type="nil"/>
            </w:tcMar>
            <w:vAlign w:val="center"/>
          </w:tcPr>
          <w:p w14:paraId="4B2529C6"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HCB - SEC </w:t>
            </w:r>
          </w:p>
        </w:tc>
        <w:tc>
          <w:tcPr>
            <w:tcW w:w="700" w:type="dxa"/>
            <w:tcMar>
              <w:top w:w="20" w:type="nil"/>
              <w:left w:w="20" w:type="nil"/>
              <w:bottom w:w="20" w:type="nil"/>
              <w:right w:w="20" w:type="nil"/>
            </w:tcMar>
            <w:vAlign w:val="center"/>
          </w:tcPr>
          <w:p w14:paraId="6BC0658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4F03A24A"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0.100</w:t>
            </w:r>
          </w:p>
        </w:tc>
        <w:tc>
          <w:tcPr>
            <w:tcW w:w="700" w:type="dxa"/>
            <w:tcMar>
              <w:top w:w="20" w:type="nil"/>
              <w:left w:w="20" w:type="nil"/>
              <w:bottom w:w="20" w:type="nil"/>
              <w:right w:w="20" w:type="nil"/>
            </w:tcMar>
            <w:vAlign w:val="center"/>
          </w:tcPr>
          <w:p w14:paraId="5975DE3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9DA4B4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6685D8B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7D72DE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5509FAA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AE271F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C3A4C7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439485AA"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0.404 </w:t>
            </w:r>
          </w:p>
        </w:tc>
      </w:tr>
      <w:tr w:rsidR="00930BB2" w:rsidRPr="00A20FE7" w14:paraId="5AC3B8B7" w14:textId="77777777" w:rsidTr="00930BB2">
        <w:tc>
          <w:tcPr>
            <w:tcW w:w="2245" w:type="dxa"/>
            <w:tcMar>
              <w:top w:w="20" w:type="nil"/>
              <w:left w:w="20" w:type="nil"/>
              <w:bottom w:w="20" w:type="nil"/>
              <w:right w:w="20" w:type="nil"/>
            </w:tcMar>
            <w:vAlign w:val="center"/>
          </w:tcPr>
          <w:p w14:paraId="18353E82"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HCB - LEC </w:t>
            </w:r>
          </w:p>
        </w:tc>
        <w:tc>
          <w:tcPr>
            <w:tcW w:w="700" w:type="dxa"/>
            <w:tcMar>
              <w:top w:w="20" w:type="nil"/>
              <w:left w:w="20" w:type="nil"/>
              <w:bottom w:w="20" w:type="nil"/>
              <w:right w:w="20" w:type="nil"/>
            </w:tcMar>
            <w:vAlign w:val="center"/>
          </w:tcPr>
          <w:p w14:paraId="4DABC18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512BB8F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0.199</w:t>
            </w:r>
          </w:p>
        </w:tc>
        <w:tc>
          <w:tcPr>
            <w:tcW w:w="700" w:type="dxa"/>
            <w:tcMar>
              <w:top w:w="20" w:type="nil"/>
              <w:left w:w="20" w:type="nil"/>
              <w:bottom w:w="20" w:type="nil"/>
              <w:right w:w="20" w:type="nil"/>
            </w:tcMar>
            <w:vAlign w:val="center"/>
          </w:tcPr>
          <w:p w14:paraId="15630D8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409F5C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5D271DB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0AD20A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4CCA483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7420E0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C20C90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60CE05DC"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0.504 </w:t>
            </w:r>
          </w:p>
        </w:tc>
      </w:tr>
      <w:tr w:rsidR="00930BB2" w:rsidRPr="00A20FE7" w14:paraId="5CCE3623" w14:textId="77777777" w:rsidTr="00930BB2">
        <w:tc>
          <w:tcPr>
            <w:tcW w:w="2245" w:type="dxa"/>
            <w:tcMar>
              <w:top w:w="20" w:type="nil"/>
              <w:left w:w="20" w:type="nil"/>
              <w:bottom w:w="20" w:type="nil"/>
              <w:right w:w="20" w:type="nil"/>
            </w:tcMar>
            <w:vAlign w:val="center"/>
          </w:tcPr>
          <w:p w14:paraId="21921E9F"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HCB - EDM_S </w:t>
            </w:r>
          </w:p>
        </w:tc>
        <w:tc>
          <w:tcPr>
            <w:tcW w:w="700" w:type="dxa"/>
            <w:tcMar>
              <w:top w:w="20" w:type="nil"/>
              <w:left w:w="20" w:type="nil"/>
              <w:bottom w:w="20" w:type="nil"/>
              <w:right w:w="20" w:type="nil"/>
            </w:tcMar>
            <w:vAlign w:val="center"/>
          </w:tcPr>
          <w:p w14:paraId="7DAD80F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04388CD3"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0.137</w:t>
            </w:r>
          </w:p>
        </w:tc>
        <w:tc>
          <w:tcPr>
            <w:tcW w:w="700" w:type="dxa"/>
            <w:tcMar>
              <w:top w:w="20" w:type="nil"/>
              <w:left w:w="20" w:type="nil"/>
              <w:bottom w:w="20" w:type="nil"/>
              <w:right w:w="20" w:type="nil"/>
            </w:tcMar>
            <w:vAlign w:val="center"/>
          </w:tcPr>
          <w:p w14:paraId="087F241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0984AF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3D81B470"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33F3EF13"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3027833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6E0E01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C01C4C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AE6A17E"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0.446 </w:t>
            </w:r>
          </w:p>
        </w:tc>
      </w:tr>
      <w:tr w:rsidR="00930BB2" w:rsidRPr="00A20FE7" w14:paraId="35552E0E" w14:textId="77777777" w:rsidTr="00930BB2">
        <w:tc>
          <w:tcPr>
            <w:tcW w:w="2245" w:type="dxa"/>
            <w:tcMar>
              <w:top w:w="20" w:type="nil"/>
              <w:left w:w="20" w:type="nil"/>
              <w:bottom w:w="20" w:type="nil"/>
              <w:right w:w="20" w:type="nil"/>
            </w:tcMar>
            <w:vAlign w:val="center"/>
          </w:tcPr>
          <w:p w14:paraId="6DFFD4F9"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HCB - ESKOM </w:t>
            </w:r>
          </w:p>
        </w:tc>
        <w:tc>
          <w:tcPr>
            <w:tcW w:w="700" w:type="dxa"/>
            <w:shd w:val="clear" w:color="auto" w:fill="FFFFFF"/>
            <w:tcMar>
              <w:top w:w="20" w:type="nil"/>
              <w:left w:w="20" w:type="nil"/>
              <w:bottom w:w="20" w:type="nil"/>
              <w:right w:w="20" w:type="nil"/>
            </w:tcMar>
            <w:vAlign w:val="center"/>
          </w:tcPr>
          <w:p w14:paraId="0A9A42C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0.006</w:t>
            </w:r>
          </w:p>
        </w:tc>
        <w:tc>
          <w:tcPr>
            <w:tcW w:w="700" w:type="dxa"/>
            <w:tcMar>
              <w:top w:w="20" w:type="nil"/>
              <w:left w:w="20" w:type="nil"/>
              <w:bottom w:w="20" w:type="nil"/>
              <w:right w:w="20" w:type="nil"/>
            </w:tcMar>
            <w:vAlign w:val="center"/>
          </w:tcPr>
          <w:p w14:paraId="5AFFA7F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CDBEEB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3C610A7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71DA5A7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60CDFAD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591C37E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A99B58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5D57AE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49D96DC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0.260 </w:t>
            </w:r>
          </w:p>
        </w:tc>
      </w:tr>
      <w:tr w:rsidR="00930BB2" w:rsidRPr="00A20FE7" w14:paraId="17E109E9" w14:textId="77777777" w:rsidTr="00930BB2">
        <w:tc>
          <w:tcPr>
            <w:tcW w:w="2245" w:type="dxa"/>
            <w:tcMar>
              <w:top w:w="20" w:type="nil"/>
              <w:left w:w="20" w:type="nil"/>
              <w:bottom w:w="20" w:type="nil"/>
              <w:right w:w="20" w:type="nil"/>
            </w:tcMar>
            <w:vAlign w:val="center"/>
          </w:tcPr>
          <w:p w14:paraId="1FD4A2DC"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HCB - NAMPOWER </w:t>
            </w:r>
          </w:p>
        </w:tc>
        <w:tc>
          <w:tcPr>
            <w:tcW w:w="700" w:type="dxa"/>
            <w:tcMar>
              <w:top w:w="20" w:type="nil"/>
              <w:left w:w="20" w:type="nil"/>
              <w:bottom w:w="20" w:type="nil"/>
              <w:right w:w="20" w:type="nil"/>
            </w:tcMar>
            <w:vAlign w:val="center"/>
          </w:tcPr>
          <w:p w14:paraId="3B78883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1A0FA6D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0.261</w:t>
            </w:r>
          </w:p>
        </w:tc>
        <w:tc>
          <w:tcPr>
            <w:tcW w:w="700" w:type="dxa"/>
            <w:tcMar>
              <w:top w:w="20" w:type="nil"/>
              <w:left w:w="20" w:type="nil"/>
              <w:bottom w:w="20" w:type="nil"/>
              <w:right w:w="20" w:type="nil"/>
            </w:tcMar>
            <w:vAlign w:val="center"/>
          </w:tcPr>
          <w:p w14:paraId="657F4FC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0256E4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170538F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E684AE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420D751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95143D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DA4D5E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17AE618D"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0.566 </w:t>
            </w:r>
          </w:p>
        </w:tc>
      </w:tr>
      <w:tr w:rsidR="00930BB2" w:rsidRPr="00A20FE7" w14:paraId="31ECEE04" w14:textId="77777777" w:rsidTr="00930BB2">
        <w:tc>
          <w:tcPr>
            <w:tcW w:w="2245" w:type="dxa"/>
            <w:tcMar>
              <w:top w:w="20" w:type="nil"/>
              <w:left w:w="20" w:type="nil"/>
              <w:bottom w:w="20" w:type="nil"/>
              <w:right w:w="20" w:type="nil"/>
            </w:tcMar>
            <w:vAlign w:val="center"/>
          </w:tcPr>
          <w:p w14:paraId="2F45DF27"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EDM_S - SNEL </w:t>
            </w:r>
          </w:p>
        </w:tc>
        <w:tc>
          <w:tcPr>
            <w:tcW w:w="700" w:type="dxa"/>
            <w:tcMar>
              <w:top w:w="20" w:type="nil"/>
              <w:left w:w="20" w:type="nil"/>
              <w:bottom w:w="20" w:type="nil"/>
              <w:right w:w="20" w:type="nil"/>
            </w:tcMar>
            <w:vAlign w:val="center"/>
          </w:tcPr>
          <w:p w14:paraId="268E94CA"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46EED70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0.137</w:t>
            </w:r>
          </w:p>
        </w:tc>
        <w:tc>
          <w:tcPr>
            <w:tcW w:w="700" w:type="dxa"/>
            <w:tcMar>
              <w:top w:w="20" w:type="nil"/>
              <w:left w:w="20" w:type="nil"/>
              <w:bottom w:w="20" w:type="nil"/>
              <w:right w:w="20" w:type="nil"/>
            </w:tcMar>
            <w:vAlign w:val="center"/>
          </w:tcPr>
          <w:p w14:paraId="53BB487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2D79D7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4C022AA"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49FE9E1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48039306"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4C2C2FA3"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562C4D9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7CAA7239"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0.565 </w:t>
            </w:r>
          </w:p>
        </w:tc>
      </w:tr>
      <w:tr w:rsidR="00930BB2" w:rsidRPr="00A20FE7" w14:paraId="33BC20E2" w14:textId="77777777" w:rsidTr="00930BB2">
        <w:tc>
          <w:tcPr>
            <w:tcW w:w="2245" w:type="dxa"/>
            <w:tcMar>
              <w:top w:w="20" w:type="nil"/>
              <w:left w:w="20" w:type="nil"/>
              <w:bottom w:w="20" w:type="nil"/>
              <w:right w:w="20" w:type="nil"/>
            </w:tcMar>
            <w:vAlign w:val="center"/>
          </w:tcPr>
          <w:p w14:paraId="6973EC49"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EDM_S - ZESCO </w:t>
            </w:r>
          </w:p>
        </w:tc>
        <w:tc>
          <w:tcPr>
            <w:tcW w:w="700" w:type="dxa"/>
            <w:tcMar>
              <w:top w:w="20" w:type="nil"/>
              <w:left w:w="20" w:type="nil"/>
              <w:bottom w:w="20" w:type="nil"/>
              <w:right w:w="20" w:type="nil"/>
            </w:tcMar>
            <w:vAlign w:val="center"/>
          </w:tcPr>
          <w:p w14:paraId="1F3CAEB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7608A36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0.137</w:t>
            </w:r>
          </w:p>
        </w:tc>
        <w:tc>
          <w:tcPr>
            <w:tcW w:w="700" w:type="dxa"/>
            <w:tcMar>
              <w:top w:w="20" w:type="nil"/>
              <w:left w:w="20" w:type="nil"/>
              <w:bottom w:w="20" w:type="nil"/>
              <w:right w:w="20" w:type="nil"/>
            </w:tcMar>
            <w:vAlign w:val="center"/>
          </w:tcPr>
          <w:p w14:paraId="4470EA2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AD498B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8F277B3"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58E6C6B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28637A7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B5EAC8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A0CB95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652E13D8"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0.382 </w:t>
            </w:r>
          </w:p>
        </w:tc>
      </w:tr>
      <w:tr w:rsidR="00930BB2" w:rsidRPr="00A20FE7" w14:paraId="06B54F48" w14:textId="77777777" w:rsidTr="00930BB2">
        <w:tc>
          <w:tcPr>
            <w:tcW w:w="2245" w:type="dxa"/>
            <w:tcMar>
              <w:top w:w="20" w:type="nil"/>
              <w:left w:w="20" w:type="nil"/>
              <w:bottom w:w="20" w:type="nil"/>
              <w:right w:w="20" w:type="nil"/>
            </w:tcMar>
            <w:vAlign w:val="center"/>
          </w:tcPr>
          <w:p w14:paraId="534648A8"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EDM_S - ZESA </w:t>
            </w:r>
          </w:p>
        </w:tc>
        <w:tc>
          <w:tcPr>
            <w:tcW w:w="700" w:type="dxa"/>
            <w:tcMar>
              <w:top w:w="20" w:type="nil"/>
              <w:left w:w="20" w:type="nil"/>
              <w:bottom w:w="20" w:type="nil"/>
              <w:right w:w="20" w:type="nil"/>
            </w:tcMar>
            <w:vAlign w:val="center"/>
          </w:tcPr>
          <w:p w14:paraId="4A5E249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0.006</w:t>
            </w:r>
          </w:p>
        </w:tc>
        <w:tc>
          <w:tcPr>
            <w:tcW w:w="700" w:type="dxa"/>
            <w:tcMar>
              <w:top w:w="20" w:type="nil"/>
              <w:left w:w="20" w:type="nil"/>
              <w:bottom w:w="20" w:type="nil"/>
              <w:right w:w="20" w:type="nil"/>
            </w:tcMar>
            <w:vAlign w:val="center"/>
          </w:tcPr>
          <w:p w14:paraId="18AF2467"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0.137</w:t>
            </w:r>
          </w:p>
        </w:tc>
        <w:tc>
          <w:tcPr>
            <w:tcW w:w="700" w:type="dxa"/>
            <w:tcMar>
              <w:top w:w="20" w:type="nil"/>
              <w:left w:w="20" w:type="nil"/>
              <w:bottom w:w="20" w:type="nil"/>
              <w:right w:w="20" w:type="nil"/>
            </w:tcMar>
            <w:vAlign w:val="center"/>
          </w:tcPr>
          <w:p w14:paraId="121451F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098722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3610A3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1CD14F4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4DAF6D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F3D4C3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DA26C5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0B24329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0.147 </w:t>
            </w:r>
          </w:p>
        </w:tc>
      </w:tr>
      <w:tr w:rsidR="00930BB2" w:rsidRPr="00A20FE7" w14:paraId="69BC2408" w14:textId="77777777" w:rsidTr="00930BB2">
        <w:tc>
          <w:tcPr>
            <w:tcW w:w="2245" w:type="dxa"/>
            <w:tcMar>
              <w:top w:w="20" w:type="nil"/>
              <w:left w:w="20" w:type="nil"/>
              <w:bottom w:w="20" w:type="nil"/>
              <w:right w:w="20" w:type="nil"/>
            </w:tcMar>
            <w:vAlign w:val="center"/>
          </w:tcPr>
          <w:p w14:paraId="74AF25C4"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EDM_S - BPC </w:t>
            </w:r>
          </w:p>
        </w:tc>
        <w:tc>
          <w:tcPr>
            <w:tcW w:w="700" w:type="dxa"/>
            <w:tcMar>
              <w:top w:w="20" w:type="nil"/>
              <w:left w:w="20" w:type="nil"/>
              <w:bottom w:w="20" w:type="nil"/>
              <w:right w:w="20" w:type="nil"/>
            </w:tcMar>
            <w:vAlign w:val="center"/>
          </w:tcPr>
          <w:p w14:paraId="7E48BB4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7455BF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0.137</w:t>
            </w:r>
          </w:p>
        </w:tc>
        <w:tc>
          <w:tcPr>
            <w:tcW w:w="700" w:type="dxa"/>
            <w:tcMar>
              <w:top w:w="20" w:type="nil"/>
              <w:left w:w="20" w:type="nil"/>
              <w:bottom w:w="20" w:type="nil"/>
              <w:right w:w="20" w:type="nil"/>
            </w:tcMar>
            <w:vAlign w:val="center"/>
          </w:tcPr>
          <w:p w14:paraId="4AE7314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25B7E3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B05C7A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17C8B93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A77512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E6FE4A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5A4DFE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612F2C1C"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0.141 </w:t>
            </w:r>
          </w:p>
        </w:tc>
      </w:tr>
      <w:tr w:rsidR="00930BB2" w:rsidRPr="00A20FE7" w14:paraId="0B850E82" w14:textId="77777777" w:rsidTr="00930BB2">
        <w:tc>
          <w:tcPr>
            <w:tcW w:w="2245" w:type="dxa"/>
            <w:tcMar>
              <w:top w:w="20" w:type="nil"/>
              <w:left w:w="20" w:type="nil"/>
              <w:bottom w:w="20" w:type="nil"/>
              <w:right w:w="20" w:type="nil"/>
            </w:tcMar>
            <w:vAlign w:val="center"/>
          </w:tcPr>
          <w:p w14:paraId="71BF3C64"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EDM_S - LEC </w:t>
            </w:r>
          </w:p>
        </w:tc>
        <w:tc>
          <w:tcPr>
            <w:tcW w:w="700" w:type="dxa"/>
            <w:tcMar>
              <w:top w:w="20" w:type="nil"/>
              <w:left w:w="20" w:type="nil"/>
              <w:bottom w:w="20" w:type="nil"/>
              <w:right w:w="20" w:type="nil"/>
            </w:tcMar>
            <w:vAlign w:val="center"/>
          </w:tcPr>
          <w:p w14:paraId="507CC15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D11E791"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0.211</w:t>
            </w:r>
          </w:p>
        </w:tc>
        <w:tc>
          <w:tcPr>
            <w:tcW w:w="700" w:type="dxa"/>
            <w:tcMar>
              <w:top w:w="20" w:type="nil"/>
              <w:left w:w="20" w:type="nil"/>
              <w:bottom w:w="20" w:type="nil"/>
              <w:right w:w="20" w:type="nil"/>
            </w:tcMar>
            <w:vAlign w:val="center"/>
          </w:tcPr>
          <w:p w14:paraId="12ED920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F07BCA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6DE4A83"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38DD3B4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A37519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742801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D39224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03E5373F"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0.215 </w:t>
            </w:r>
          </w:p>
        </w:tc>
      </w:tr>
      <w:tr w:rsidR="00930BB2" w:rsidRPr="00A20FE7" w14:paraId="00BC3C0C" w14:textId="77777777" w:rsidTr="00930BB2">
        <w:tc>
          <w:tcPr>
            <w:tcW w:w="2245" w:type="dxa"/>
            <w:tcMar>
              <w:top w:w="20" w:type="nil"/>
              <w:left w:w="20" w:type="nil"/>
              <w:bottom w:w="20" w:type="nil"/>
              <w:right w:w="20" w:type="nil"/>
            </w:tcMar>
            <w:vAlign w:val="center"/>
          </w:tcPr>
          <w:p w14:paraId="0A8A418F"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EDM_S - HCB </w:t>
            </w:r>
          </w:p>
        </w:tc>
        <w:tc>
          <w:tcPr>
            <w:tcW w:w="700" w:type="dxa"/>
            <w:tcMar>
              <w:top w:w="20" w:type="nil"/>
              <w:left w:w="20" w:type="nil"/>
              <w:bottom w:w="20" w:type="nil"/>
              <w:right w:w="20" w:type="nil"/>
            </w:tcMar>
            <w:vAlign w:val="center"/>
          </w:tcPr>
          <w:p w14:paraId="7501C47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5FDC02C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0.137</w:t>
            </w:r>
          </w:p>
        </w:tc>
        <w:tc>
          <w:tcPr>
            <w:tcW w:w="700" w:type="dxa"/>
            <w:tcMar>
              <w:top w:w="20" w:type="nil"/>
              <w:left w:w="20" w:type="nil"/>
              <w:bottom w:w="20" w:type="nil"/>
              <w:right w:w="20" w:type="nil"/>
            </w:tcMar>
            <w:vAlign w:val="center"/>
          </w:tcPr>
          <w:p w14:paraId="16640AA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6FA5C07"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1DA92F7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7E8EC78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4689D4C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0B4691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430D4A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3059D139"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0.446 </w:t>
            </w:r>
          </w:p>
        </w:tc>
      </w:tr>
      <w:tr w:rsidR="00930BB2" w:rsidRPr="00A20FE7" w14:paraId="39F6982E" w14:textId="77777777" w:rsidTr="00930BB2">
        <w:tc>
          <w:tcPr>
            <w:tcW w:w="2245" w:type="dxa"/>
            <w:tcMar>
              <w:top w:w="20" w:type="nil"/>
              <w:left w:w="20" w:type="nil"/>
              <w:bottom w:w="20" w:type="nil"/>
              <w:right w:w="20" w:type="nil"/>
            </w:tcMar>
            <w:vAlign w:val="center"/>
          </w:tcPr>
          <w:p w14:paraId="50583EA6"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EDM_S - NAMPOWER </w:t>
            </w:r>
          </w:p>
        </w:tc>
        <w:tc>
          <w:tcPr>
            <w:tcW w:w="700" w:type="dxa"/>
            <w:tcMar>
              <w:top w:w="20" w:type="nil"/>
              <w:left w:w="20" w:type="nil"/>
              <w:bottom w:w="20" w:type="nil"/>
              <w:right w:w="20" w:type="nil"/>
            </w:tcMar>
            <w:vAlign w:val="center"/>
          </w:tcPr>
          <w:p w14:paraId="6468392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D66549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0.246</w:t>
            </w:r>
          </w:p>
        </w:tc>
        <w:tc>
          <w:tcPr>
            <w:tcW w:w="700" w:type="dxa"/>
            <w:tcMar>
              <w:top w:w="20" w:type="nil"/>
              <w:left w:w="20" w:type="nil"/>
              <w:bottom w:w="20" w:type="nil"/>
              <w:right w:w="20" w:type="nil"/>
            </w:tcMar>
            <w:vAlign w:val="center"/>
          </w:tcPr>
          <w:p w14:paraId="29C88F4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E2E8AB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A8D419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081AEC6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BEC8A2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C7DE13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43631B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3E1EAD99"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0.250 </w:t>
            </w:r>
          </w:p>
        </w:tc>
      </w:tr>
      <w:tr w:rsidR="00930BB2" w:rsidRPr="00A20FE7" w14:paraId="07F3CDA3" w14:textId="77777777" w:rsidTr="00930BB2">
        <w:tc>
          <w:tcPr>
            <w:tcW w:w="2245" w:type="dxa"/>
            <w:tcMar>
              <w:top w:w="20" w:type="nil"/>
              <w:left w:w="20" w:type="nil"/>
              <w:bottom w:w="20" w:type="nil"/>
              <w:right w:w="20" w:type="nil"/>
            </w:tcMar>
            <w:vAlign w:val="center"/>
          </w:tcPr>
          <w:p w14:paraId="4438EF22"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EDM_S - ESKOM </w:t>
            </w:r>
          </w:p>
        </w:tc>
        <w:tc>
          <w:tcPr>
            <w:tcW w:w="700" w:type="dxa"/>
            <w:tcMar>
              <w:top w:w="20" w:type="nil"/>
              <w:left w:w="20" w:type="nil"/>
              <w:bottom w:w="20" w:type="nil"/>
              <w:right w:w="20" w:type="nil"/>
            </w:tcMar>
            <w:vAlign w:val="center"/>
          </w:tcPr>
          <w:p w14:paraId="573ABDB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38C476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79C304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DF5094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C71E1C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77F05CC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B24EA7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243572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C736C6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312813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0.004 </w:t>
            </w:r>
          </w:p>
        </w:tc>
      </w:tr>
      <w:tr w:rsidR="00930BB2" w:rsidRPr="00A20FE7" w14:paraId="5FD248EA" w14:textId="77777777" w:rsidTr="00930BB2">
        <w:tc>
          <w:tcPr>
            <w:tcW w:w="2245" w:type="dxa"/>
            <w:tcMar>
              <w:top w:w="20" w:type="nil"/>
              <w:left w:w="20" w:type="nil"/>
              <w:bottom w:w="20" w:type="nil"/>
              <w:right w:w="20" w:type="nil"/>
            </w:tcMar>
            <w:vAlign w:val="center"/>
          </w:tcPr>
          <w:p w14:paraId="2F24919A"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EDM_S - SEC </w:t>
            </w:r>
          </w:p>
        </w:tc>
        <w:tc>
          <w:tcPr>
            <w:tcW w:w="700" w:type="dxa"/>
            <w:tcMar>
              <w:top w:w="20" w:type="nil"/>
              <w:left w:w="20" w:type="nil"/>
              <w:bottom w:w="20" w:type="nil"/>
              <w:right w:w="20" w:type="nil"/>
            </w:tcMar>
            <w:vAlign w:val="center"/>
          </w:tcPr>
          <w:p w14:paraId="28F27AF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96339A7"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0.082</w:t>
            </w:r>
          </w:p>
        </w:tc>
        <w:tc>
          <w:tcPr>
            <w:tcW w:w="700" w:type="dxa"/>
            <w:tcMar>
              <w:top w:w="20" w:type="nil"/>
              <w:left w:w="20" w:type="nil"/>
              <w:bottom w:w="20" w:type="nil"/>
              <w:right w:w="20" w:type="nil"/>
            </w:tcMar>
            <w:vAlign w:val="center"/>
          </w:tcPr>
          <w:p w14:paraId="6EA7AE2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1D1235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F46000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B7CA9B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887DE1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F6122D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C82EC1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65A75770"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0.082 </w:t>
            </w:r>
          </w:p>
        </w:tc>
      </w:tr>
      <w:tr w:rsidR="00930BB2" w:rsidRPr="00A20FE7" w14:paraId="25D67EE2" w14:textId="77777777" w:rsidTr="00930BB2">
        <w:tc>
          <w:tcPr>
            <w:tcW w:w="2245" w:type="dxa"/>
            <w:tcMar>
              <w:top w:w="20" w:type="nil"/>
              <w:left w:w="20" w:type="nil"/>
              <w:bottom w:w="20" w:type="nil"/>
              <w:right w:w="20" w:type="nil"/>
            </w:tcMar>
            <w:vAlign w:val="center"/>
          </w:tcPr>
          <w:p w14:paraId="2144220F"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SEC - SNEL </w:t>
            </w:r>
          </w:p>
        </w:tc>
        <w:tc>
          <w:tcPr>
            <w:tcW w:w="700" w:type="dxa"/>
            <w:tcMar>
              <w:top w:w="20" w:type="nil"/>
              <w:left w:w="20" w:type="nil"/>
              <w:bottom w:w="20" w:type="nil"/>
              <w:right w:w="20" w:type="nil"/>
            </w:tcMar>
            <w:vAlign w:val="center"/>
          </w:tcPr>
          <w:p w14:paraId="4DDB6640"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74EE860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0.100</w:t>
            </w:r>
          </w:p>
        </w:tc>
        <w:tc>
          <w:tcPr>
            <w:tcW w:w="700" w:type="dxa"/>
            <w:tcMar>
              <w:top w:w="20" w:type="nil"/>
              <w:left w:w="20" w:type="nil"/>
              <w:bottom w:w="20" w:type="nil"/>
              <w:right w:w="20" w:type="nil"/>
            </w:tcMar>
            <w:vAlign w:val="center"/>
          </w:tcPr>
          <w:p w14:paraId="7D99BAF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DA7C8D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8D0B1D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943D88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3AD789D7"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79CFD73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3581531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3D5CA298"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0.523 </w:t>
            </w:r>
          </w:p>
        </w:tc>
      </w:tr>
      <w:tr w:rsidR="00930BB2" w:rsidRPr="00A20FE7" w14:paraId="32CC4BCF" w14:textId="77777777" w:rsidTr="00930BB2">
        <w:tc>
          <w:tcPr>
            <w:tcW w:w="2245" w:type="dxa"/>
            <w:tcMar>
              <w:top w:w="20" w:type="nil"/>
              <w:left w:w="20" w:type="nil"/>
              <w:bottom w:w="20" w:type="nil"/>
              <w:right w:w="20" w:type="nil"/>
            </w:tcMar>
            <w:vAlign w:val="center"/>
          </w:tcPr>
          <w:p w14:paraId="30CE5987"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SEC - ZESCO </w:t>
            </w:r>
          </w:p>
        </w:tc>
        <w:tc>
          <w:tcPr>
            <w:tcW w:w="700" w:type="dxa"/>
            <w:tcMar>
              <w:top w:w="20" w:type="nil"/>
              <w:left w:w="20" w:type="nil"/>
              <w:bottom w:w="20" w:type="nil"/>
              <w:right w:w="20" w:type="nil"/>
            </w:tcMar>
            <w:vAlign w:val="center"/>
          </w:tcPr>
          <w:p w14:paraId="774D571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6D12553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0.100</w:t>
            </w:r>
          </w:p>
        </w:tc>
        <w:tc>
          <w:tcPr>
            <w:tcW w:w="700" w:type="dxa"/>
            <w:tcMar>
              <w:top w:w="20" w:type="nil"/>
              <w:left w:w="20" w:type="nil"/>
              <w:bottom w:w="20" w:type="nil"/>
              <w:right w:w="20" w:type="nil"/>
            </w:tcMar>
            <w:vAlign w:val="center"/>
          </w:tcPr>
          <w:p w14:paraId="735CB6D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6DF1A1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7F7CE6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78B6F3A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1DAF2A2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3F1398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8394A6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08E776FC"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0.340 </w:t>
            </w:r>
          </w:p>
        </w:tc>
      </w:tr>
      <w:tr w:rsidR="00930BB2" w:rsidRPr="00A20FE7" w14:paraId="3FF2C014" w14:textId="77777777" w:rsidTr="00930BB2">
        <w:tc>
          <w:tcPr>
            <w:tcW w:w="2245" w:type="dxa"/>
            <w:tcMar>
              <w:top w:w="20" w:type="nil"/>
              <w:left w:w="20" w:type="nil"/>
              <w:bottom w:w="20" w:type="nil"/>
              <w:right w:w="20" w:type="nil"/>
            </w:tcMar>
            <w:vAlign w:val="center"/>
          </w:tcPr>
          <w:p w14:paraId="628508C2"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SEC - ZESA </w:t>
            </w:r>
          </w:p>
        </w:tc>
        <w:tc>
          <w:tcPr>
            <w:tcW w:w="700" w:type="dxa"/>
            <w:tcMar>
              <w:top w:w="20" w:type="nil"/>
              <w:left w:w="20" w:type="nil"/>
              <w:bottom w:w="20" w:type="nil"/>
              <w:right w:w="20" w:type="nil"/>
            </w:tcMar>
            <w:vAlign w:val="center"/>
          </w:tcPr>
          <w:p w14:paraId="24ADDC0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0.006</w:t>
            </w:r>
          </w:p>
        </w:tc>
        <w:tc>
          <w:tcPr>
            <w:tcW w:w="700" w:type="dxa"/>
            <w:tcMar>
              <w:top w:w="20" w:type="nil"/>
              <w:left w:w="20" w:type="nil"/>
              <w:bottom w:w="20" w:type="nil"/>
              <w:right w:w="20" w:type="nil"/>
            </w:tcMar>
            <w:vAlign w:val="center"/>
          </w:tcPr>
          <w:p w14:paraId="3CDF0BC7"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0.100</w:t>
            </w:r>
          </w:p>
        </w:tc>
        <w:tc>
          <w:tcPr>
            <w:tcW w:w="700" w:type="dxa"/>
            <w:tcMar>
              <w:top w:w="20" w:type="nil"/>
              <w:left w:w="20" w:type="nil"/>
              <w:bottom w:w="20" w:type="nil"/>
              <w:right w:w="20" w:type="nil"/>
            </w:tcMar>
            <w:vAlign w:val="center"/>
          </w:tcPr>
          <w:p w14:paraId="53D3A83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9E8EE1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801E2D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B67EB8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CC2A3E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215DDD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BED02B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1E8DC607"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0.106 </w:t>
            </w:r>
          </w:p>
        </w:tc>
      </w:tr>
      <w:tr w:rsidR="00930BB2" w:rsidRPr="00A20FE7" w14:paraId="7A0C1DDB" w14:textId="77777777" w:rsidTr="00930BB2">
        <w:tc>
          <w:tcPr>
            <w:tcW w:w="2245" w:type="dxa"/>
            <w:tcMar>
              <w:top w:w="20" w:type="nil"/>
              <w:left w:w="20" w:type="nil"/>
              <w:bottom w:w="20" w:type="nil"/>
              <w:right w:w="20" w:type="nil"/>
            </w:tcMar>
            <w:vAlign w:val="center"/>
          </w:tcPr>
          <w:p w14:paraId="5EBF8852"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lastRenderedPageBreak/>
              <w:t xml:space="preserve">SEC - BPC </w:t>
            </w:r>
          </w:p>
        </w:tc>
        <w:tc>
          <w:tcPr>
            <w:tcW w:w="700" w:type="dxa"/>
            <w:tcMar>
              <w:top w:w="20" w:type="nil"/>
              <w:left w:w="20" w:type="nil"/>
              <w:bottom w:w="20" w:type="nil"/>
              <w:right w:w="20" w:type="nil"/>
            </w:tcMar>
            <w:vAlign w:val="center"/>
          </w:tcPr>
          <w:p w14:paraId="74DD8F7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2D50A90"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0.100</w:t>
            </w:r>
          </w:p>
        </w:tc>
        <w:tc>
          <w:tcPr>
            <w:tcW w:w="700" w:type="dxa"/>
            <w:tcMar>
              <w:top w:w="20" w:type="nil"/>
              <w:left w:w="20" w:type="nil"/>
              <w:bottom w:w="20" w:type="nil"/>
              <w:right w:w="20" w:type="nil"/>
            </w:tcMar>
            <w:vAlign w:val="center"/>
          </w:tcPr>
          <w:p w14:paraId="720323C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D80980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95545C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763635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AE6342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C6C981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D125F1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14D63DC3"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0.100 </w:t>
            </w:r>
          </w:p>
        </w:tc>
      </w:tr>
      <w:tr w:rsidR="00930BB2" w:rsidRPr="00A20FE7" w14:paraId="37D2A271" w14:textId="77777777" w:rsidTr="00930BB2">
        <w:tc>
          <w:tcPr>
            <w:tcW w:w="2245" w:type="dxa"/>
            <w:tcMar>
              <w:top w:w="20" w:type="nil"/>
              <w:left w:w="20" w:type="nil"/>
              <w:bottom w:w="20" w:type="nil"/>
              <w:right w:w="20" w:type="nil"/>
            </w:tcMar>
            <w:vAlign w:val="center"/>
          </w:tcPr>
          <w:p w14:paraId="3DE2475B"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SEC - NAMPOWER </w:t>
            </w:r>
          </w:p>
        </w:tc>
        <w:tc>
          <w:tcPr>
            <w:tcW w:w="700" w:type="dxa"/>
            <w:tcMar>
              <w:top w:w="20" w:type="nil"/>
              <w:left w:w="20" w:type="nil"/>
              <w:bottom w:w="20" w:type="nil"/>
              <w:right w:w="20" w:type="nil"/>
            </w:tcMar>
            <w:vAlign w:val="center"/>
          </w:tcPr>
          <w:p w14:paraId="2CD83E0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ECFA54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0.204</w:t>
            </w:r>
          </w:p>
        </w:tc>
        <w:tc>
          <w:tcPr>
            <w:tcW w:w="700" w:type="dxa"/>
            <w:tcMar>
              <w:top w:w="20" w:type="nil"/>
              <w:left w:w="20" w:type="nil"/>
              <w:bottom w:w="20" w:type="nil"/>
              <w:right w:w="20" w:type="nil"/>
            </w:tcMar>
            <w:vAlign w:val="center"/>
          </w:tcPr>
          <w:p w14:paraId="7F0534E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5CAF86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6A85EB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446370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4BA936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4B60AF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6D0A90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7DF19449"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0.204 </w:t>
            </w:r>
          </w:p>
        </w:tc>
      </w:tr>
      <w:tr w:rsidR="00930BB2" w:rsidRPr="00A20FE7" w14:paraId="0CD64409" w14:textId="77777777" w:rsidTr="00930BB2">
        <w:tc>
          <w:tcPr>
            <w:tcW w:w="2245" w:type="dxa"/>
            <w:tcMar>
              <w:top w:w="20" w:type="nil"/>
              <w:left w:w="20" w:type="nil"/>
              <w:bottom w:w="20" w:type="nil"/>
              <w:right w:w="20" w:type="nil"/>
            </w:tcMar>
            <w:vAlign w:val="center"/>
          </w:tcPr>
          <w:p w14:paraId="26AE8E83"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SEC - LEC </w:t>
            </w:r>
          </w:p>
        </w:tc>
        <w:tc>
          <w:tcPr>
            <w:tcW w:w="700" w:type="dxa"/>
            <w:tcMar>
              <w:top w:w="20" w:type="nil"/>
              <w:left w:w="20" w:type="nil"/>
              <w:bottom w:w="20" w:type="nil"/>
              <w:right w:w="20" w:type="nil"/>
            </w:tcMar>
            <w:vAlign w:val="center"/>
          </w:tcPr>
          <w:p w14:paraId="119DF9A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48043A0"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0.144</w:t>
            </w:r>
          </w:p>
        </w:tc>
        <w:tc>
          <w:tcPr>
            <w:tcW w:w="700" w:type="dxa"/>
            <w:tcMar>
              <w:top w:w="20" w:type="nil"/>
              <w:left w:w="20" w:type="nil"/>
              <w:bottom w:w="20" w:type="nil"/>
              <w:right w:w="20" w:type="nil"/>
            </w:tcMar>
            <w:vAlign w:val="center"/>
          </w:tcPr>
          <w:p w14:paraId="77AF52E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C0C327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AF91B9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1A4E65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E2694E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92BBD0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DFED41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541A37A9"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0.144 </w:t>
            </w:r>
          </w:p>
        </w:tc>
      </w:tr>
      <w:tr w:rsidR="00930BB2" w:rsidRPr="00A20FE7" w14:paraId="7F90A2FD" w14:textId="77777777" w:rsidTr="00930BB2">
        <w:tc>
          <w:tcPr>
            <w:tcW w:w="2245" w:type="dxa"/>
            <w:tcMar>
              <w:top w:w="20" w:type="nil"/>
              <w:left w:w="20" w:type="nil"/>
              <w:bottom w:w="20" w:type="nil"/>
              <w:right w:w="20" w:type="nil"/>
            </w:tcMar>
            <w:vAlign w:val="center"/>
          </w:tcPr>
          <w:p w14:paraId="12FCC77E"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SEC - HCB </w:t>
            </w:r>
          </w:p>
        </w:tc>
        <w:tc>
          <w:tcPr>
            <w:tcW w:w="700" w:type="dxa"/>
            <w:tcMar>
              <w:top w:w="20" w:type="nil"/>
              <w:left w:w="20" w:type="nil"/>
              <w:bottom w:w="20" w:type="nil"/>
              <w:right w:w="20" w:type="nil"/>
            </w:tcMar>
            <w:vAlign w:val="center"/>
          </w:tcPr>
          <w:p w14:paraId="067DE56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26D72000"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0.100</w:t>
            </w:r>
          </w:p>
        </w:tc>
        <w:tc>
          <w:tcPr>
            <w:tcW w:w="700" w:type="dxa"/>
            <w:tcMar>
              <w:top w:w="20" w:type="nil"/>
              <w:left w:w="20" w:type="nil"/>
              <w:bottom w:w="20" w:type="nil"/>
              <w:right w:w="20" w:type="nil"/>
            </w:tcMar>
            <w:vAlign w:val="center"/>
          </w:tcPr>
          <w:p w14:paraId="25F3699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6263AD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03AC2F6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7FA398C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4229B92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5B0EE8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FBA7C7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3045C483"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0.404 </w:t>
            </w:r>
          </w:p>
        </w:tc>
      </w:tr>
      <w:tr w:rsidR="00930BB2" w:rsidRPr="00A20FE7" w14:paraId="58AD7EF8" w14:textId="77777777" w:rsidTr="00930BB2">
        <w:tc>
          <w:tcPr>
            <w:tcW w:w="2245" w:type="dxa"/>
            <w:tcMar>
              <w:top w:w="20" w:type="nil"/>
              <w:left w:w="20" w:type="nil"/>
              <w:bottom w:w="20" w:type="nil"/>
              <w:right w:w="20" w:type="nil"/>
            </w:tcMar>
            <w:vAlign w:val="center"/>
          </w:tcPr>
          <w:p w14:paraId="6AC9B619"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SEC - ESKOM </w:t>
            </w:r>
          </w:p>
        </w:tc>
        <w:tc>
          <w:tcPr>
            <w:tcW w:w="700" w:type="dxa"/>
            <w:tcMar>
              <w:top w:w="20" w:type="nil"/>
              <w:left w:w="20" w:type="nil"/>
              <w:bottom w:w="20" w:type="nil"/>
              <w:right w:w="20" w:type="nil"/>
            </w:tcMar>
            <w:vAlign w:val="center"/>
          </w:tcPr>
          <w:p w14:paraId="575BD66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93C972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480021F"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0.010</w:t>
            </w:r>
          </w:p>
        </w:tc>
        <w:tc>
          <w:tcPr>
            <w:tcW w:w="700" w:type="dxa"/>
            <w:tcMar>
              <w:top w:w="20" w:type="nil"/>
              <w:left w:w="20" w:type="nil"/>
              <w:bottom w:w="20" w:type="nil"/>
              <w:right w:w="20" w:type="nil"/>
            </w:tcMar>
            <w:vAlign w:val="center"/>
          </w:tcPr>
          <w:p w14:paraId="5DDE2D6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F81004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2F50D5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E0DC97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1F7255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1613BA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4A3B1BFC"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0.010 </w:t>
            </w:r>
          </w:p>
        </w:tc>
      </w:tr>
      <w:tr w:rsidR="00930BB2" w:rsidRPr="00A20FE7" w14:paraId="4EAE8FED" w14:textId="77777777" w:rsidTr="00930BB2">
        <w:tc>
          <w:tcPr>
            <w:tcW w:w="2245" w:type="dxa"/>
            <w:tcMar>
              <w:top w:w="20" w:type="nil"/>
              <w:left w:w="20" w:type="nil"/>
              <w:bottom w:w="20" w:type="nil"/>
              <w:right w:w="20" w:type="nil"/>
            </w:tcMar>
            <w:vAlign w:val="center"/>
          </w:tcPr>
          <w:p w14:paraId="12ECC391"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SEC - EDM_S </w:t>
            </w:r>
          </w:p>
        </w:tc>
        <w:tc>
          <w:tcPr>
            <w:tcW w:w="700" w:type="dxa"/>
            <w:tcMar>
              <w:top w:w="20" w:type="nil"/>
              <w:left w:w="20" w:type="nil"/>
              <w:bottom w:w="20" w:type="nil"/>
              <w:right w:w="20" w:type="nil"/>
            </w:tcMar>
            <w:vAlign w:val="center"/>
          </w:tcPr>
          <w:p w14:paraId="2017527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9C463D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0.082</w:t>
            </w:r>
          </w:p>
        </w:tc>
        <w:tc>
          <w:tcPr>
            <w:tcW w:w="700" w:type="dxa"/>
            <w:tcMar>
              <w:top w:w="20" w:type="nil"/>
              <w:left w:w="20" w:type="nil"/>
              <w:bottom w:w="20" w:type="nil"/>
              <w:right w:w="20" w:type="nil"/>
            </w:tcMar>
            <w:vAlign w:val="center"/>
          </w:tcPr>
          <w:p w14:paraId="3E36440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2DCD17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C5C343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84C237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BF9148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D961EE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32CF1F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1E4B6D58"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0.082 </w:t>
            </w:r>
          </w:p>
        </w:tc>
      </w:tr>
      <w:tr w:rsidR="00930BB2" w:rsidRPr="00A20FE7" w14:paraId="09D06C3C" w14:textId="77777777" w:rsidTr="00930BB2">
        <w:tc>
          <w:tcPr>
            <w:tcW w:w="2245" w:type="dxa"/>
            <w:tcMar>
              <w:top w:w="20" w:type="nil"/>
              <w:left w:w="20" w:type="nil"/>
              <w:bottom w:w="20" w:type="nil"/>
              <w:right w:w="20" w:type="nil"/>
            </w:tcMar>
            <w:vAlign w:val="center"/>
          </w:tcPr>
          <w:p w14:paraId="19D45177"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LEC - SNEL </w:t>
            </w:r>
          </w:p>
        </w:tc>
        <w:tc>
          <w:tcPr>
            <w:tcW w:w="700" w:type="dxa"/>
            <w:tcMar>
              <w:top w:w="20" w:type="nil"/>
              <w:left w:w="20" w:type="nil"/>
              <w:bottom w:w="20" w:type="nil"/>
              <w:right w:w="20" w:type="nil"/>
            </w:tcMar>
            <w:vAlign w:val="center"/>
          </w:tcPr>
          <w:p w14:paraId="0145F7F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74462E8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0.199</w:t>
            </w:r>
          </w:p>
        </w:tc>
        <w:tc>
          <w:tcPr>
            <w:tcW w:w="700" w:type="dxa"/>
            <w:tcMar>
              <w:top w:w="20" w:type="nil"/>
              <w:left w:w="20" w:type="nil"/>
              <w:bottom w:w="20" w:type="nil"/>
              <w:right w:w="20" w:type="nil"/>
            </w:tcMar>
            <w:vAlign w:val="center"/>
          </w:tcPr>
          <w:p w14:paraId="437481B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7A0E1D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204837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2354DD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71F72AFB"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0.141</w:t>
            </w:r>
          </w:p>
        </w:tc>
        <w:tc>
          <w:tcPr>
            <w:tcW w:w="700" w:type="dxa"/>
            <w:tcMar>
              <w:top w:w="20" w:type="nil"/>
              <w:left w:w="20" w:type="nil"/>
              <w:bottom w:w="20" w:type="nil"/>
              <w:right w:w="20" w:type="nil"/>
            </w:tcMar>
            <w:vAlign w:val="center"/>
          </w:tcPr>
          <w:p w14:paraId="3238DA2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0.042</w:t>
            </w:r>
          </w:p>
        </w:tc>
        <w:tc>
          <w:tcPr>
            <w:tcW w:w="700" w:type="dxa"/>
            <w:tcMar>
              <w:top w:w="20" w:type="nil"/>
              <w:left w:w="20" w:type="nil"/>
              <w:bottom w:w="20" w:type="nil"/>
              <w:right w:w="20" w:type="nil"/>
            </w:tcMar>
            <w:vAlign w:val="center"/>
          </w:tcPr>
          <w:p w14:paraId="4A1573C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3406F421"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0.623 </w:t>
            </w:r>
          </w:p>
        </w:tc>
      </w:tr>
      <w:tr w:rsidR="00930BB2" w:rsidRPr="00A20FE7" w14:paraId="718CA25A" w14:textId="77777777" w:rsidTr="00930BB2">
        <w:tc>
          <w:tcPr>
            <w:tcW w:w="2245" w:type="dxa"/>
            <w:tcMar>
              <w:top w:w="20" w:type="nil"/>
              <w:left w:w="20" w:type="nil"/>
              <w:bottom w:w="20" w:type="nil"/>
              <w:right w:w="20" w:type="nil"/>
            </w:tcMar>
            <w:vAlign w:val="center"/>
          </w:tcPr>
          <w:p w14:paraId="1BD4EFE6"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LEC - ZESCO </w:t>
            </w:r>
          </w:p>
        </w:tc>
        <w:tc>
          <w:tcPr>
            <w:tcW w:w="700" w:type="dxa"/>
            <w:tcMar>
              <w:top w:w="20" w:type="nil"/>
              <w:left w:w="20" w:type="nil"/>
              <w:bottom w:w="20" w:type="nil"/>
              <w:right w:w="20" w:type="nil"/>
            </w:tcMar>
            <w:vAlign w:val="center"/>
          </w:tcPr>
          <w:p w14:paraId="53040393"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5C0A0102"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0.199</w:t>
            </w:r>
          </w:p>
        </w:tc>
        <w:tc>
          <w:tcPr>
            <w:tcW w:w="700" w:type="dxa"/>
            <w:tcMar>
              <w:top w:w="20" w:type="nil"/>
              <w:left w:w="20" w:type="nil"/>
              <w:bottom w:w="20" w:type="nil"/>
              <w:right w:w="20" w:type="nil"/>
            </w:tcMar>
            <w:vAlign w:val="center"/>
          </w:tcPr>
          <w:p w14:paraId="06D5851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85EA0C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14A2C8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459B597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0.189</w:t>
            </w:r>
          </w:p>
        </w:tc>
        <w:tc>
          <w:tcPr>
            <w:tcW w:w="700" w:type="dxa"/>
            <w:tcMar>
              <w:top w:w="20" w:type="nil"/>
              <w:left w:w="20" w:type="nil"/>
              <w:bottom w:w="20" w:type="nil"/>
              <w:right w:w="20" w:type="nil"/>
            </w:tcMar>
            <w:vAlign w:val="center"/>
          </w:tcPr>
          <w:p w14:paraId="73C4E27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330785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586B4A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2BCCF981"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0.440 </w:t>
            </w:r>
          </w:p>
        </w:tc>
      </w:tr>
      <w:tr w:rsidR="00930BB2" w:rsidRPr="00A20FE7" w14:paraId="4288DB84" w14:textId="77777777" w:rsidTr="00930BB2">
        <w:tc>
          <w:tcPr>
            <w:tcW w:w="2245" w:type="dxa"/>
            <w:tcMar>
              <w:top w:w="20" w:type="nil"/>
              <w:left w:w="20" w:type="nil"/>
              <w:bottom w:w="20" w:type="nil"/>
              <w:right w:w="20" w:type="nil"/>
            </w:tcMar>
            <w:vAlign w:val="center"/>
          </w:tcPr>
          <w:p w14:paraId="3B3D4464"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LEC - ZESA </w:t>
            </w:r>
          </w:p>
        </w:tc>
        <w:tc>
          <w:tcPr>
            <w:tcW w:w="700" w:type="dxa"/>
            <w:tcMar>
              <w:top w:w="20" w:type="nil"/>
              <w:left w:w="20" w:type="nil"/>
              <w:bottom w:w="20" w:type="nil"/>
              <w:right w:w="20" w:type="nil"/>
            </w:tcMar>
            <w:vAlign w:val="center"/>
          </w:tcPr>
          <w:p w14:paraId="3875872C"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0.006</w:t>
            </w:r>
          </w:p>
        </w:tc>
        <w:tc>
          <w:tcPr>
            <w:tcW w:w="700" w:type="dxa"/>
            <w:tcMar>
              <w:top w:w="20" w:type="nil"/>
              <w:left w:w="20" w:type="nil"/>
              <w:bottom w:w="20" w:type="nil"/>
              <w:right w:w="20" w:type="nil"/>
            </w:tcMar>
            <w:vAlign w:val="center"/>
          </w:tcPr>
          <w:p w14:paraId="0FCF6A78"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0.199</w:t>
            </w:r>
          </w:p>
        </w:tc>
        <w:tc>
          <w:tcPr>
            <w:tcW w:w="700" w:type="dxa"/>
            <w:tcMar>
              <w:top w:w="20" w:type="nil"/>
              <w:left w:w="20" w:type="nil"/>
              <w:bottom w:w="20" w:type="nil"/>
              <w:right w:w="20" w:type="nil"/>
            </w:tcMar>
            <w:vAlign w:val="center"/>
          </w:tcPr>
          <w:p w14:paraId="23343C0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5EEFE5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C9FC20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7E3FE8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0A9704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F44C31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BFCE96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0093D617"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0.205 </w:t>
            </w:r>
          </w:p>
        </w:tc>
      </w:tr>
      <w:tr w:rsidR="00930BB2" w:rsidRPr="00A20FE7" w14:paraId="78621E15" w14:textId="77777777" w:rsidTr="00930BB2">
        <w:tc>
          <w:tcPr>
            <w:tcW w:w="2245" w:type="dxa"/>
            <w:tcMar>
              <w:top w:w="20" w:type="nil"/>
              <w:left w:w="20" w:type="nil"/>
              <w:bottom w:w="20" w:type="nil"/>
              <w:right w:w="20" w:type="nil"/>
            </w:tcMar>
            <w:vAlign w:val="center"/>
          </w:tcPr>
          <w:p w14:paraId="175A2269"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LEC - BPC </w:t>
            </w:r>
          </w:p>
        </w:tc>
        <w:tc>
          <w:tcPr>
            <w:tcW w:w="700" w:type="dxa"/>
            <w:tcMar>
              <w:top w:w="20" w:type="nil"/>
              <w:left w:w="20" w:type="nil"/>
              <w:bottom w:w="20" w:type="nil"/>
              <w:right w:w="20" w:type="nil"/>
            </w:tcMar>
            <w:vAlign w:val="center"/>
          </w:tcPr>
          <w:p w14:paraId="77E6D1B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D081C77"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0.199</w:t>
            </w:r>
          </w:p>
        </w:tc>
        <w:tc>
          <w:tcPr>
            <w:tcW w:w="700" w:type="dxa"/>
            <w:tcMar>
              <w:top w:w="20" w:type="nil"/>
              <w:left w:w="20" w:type="nil"/>
              <w:bottom w:w="20" w:type="nil"/>
              <w:right w:w="20" w:type="nil"/>
            </w:tcMar>
            <w:vAlign w:val="center"/>
          </w:tcPr>
          <w:p w14:paraId="6B38EA0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177F96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2A8721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32D854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45E6DD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5A8159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C51F95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7FD70EDD"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0.199 </w:t>
            </w:r>
          </w:p>
        </w:tc>
      </w:tr>
      <w:tr w:rsidR="00930BB2" w:rsidRPr="00A20FE7" w14:paraId="6AE6401D" w14:textId="77777777" w:rsidTr="00930BB2">
        <w:tc>
          <w:tcPr>
            <w:tcW w:w="2245" w:type="dxa"/>
            <w:tcMar>
              <w:top w:w="20" w:type="nil"/>
              <w:left w:w="20" w:type="nil"/>
              <w:bottom w:w="20" w:type="nil"/>
              <w:right w:w="20" w:type="nil"/>
            </w:tcMar>
            <w:vAlign w:val="center"/>
          </w:tcPr>
          <w:p w14:paraId="6728F7C0"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LEC - NAMPOWER </w:t>
            </w:r>
          </w:p>
        </w:tc>
        <w:tc>
          <w:tcPr>
            <w:tcW w:w="700" w:type="dxa"/>
            <w:tcMar>
              <w:top w:w="20" w:type="nil"/>
              <w:left w:w="20" w:type="nil"/>
              <w:bottom w:w="20" w:type="nil"/>
              <w:right w:w="20" w:type="nil"/>
            </w:tcMar>
            <w:vAlign w:val="center"/>
          </w:tcPr>
          <w:p w14:paraId="29B55EC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E021D4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0.204</w:t>
            </w:r>
          </w:p>
        </w:tc>
        <w:tc>
          <w:tcPr>
            <w:tcW w:w="700" w:type="dxa"/>
            <w:tcMar>
              <w:top w:w="20" w:type="nil"/>
              <w:left w:w="20" w:type="nil"/>
              <w:bottom w:w="20" w:type="nil"/>
              <w:right w:w="20" w:type="nil"/>
            </w:tcMar>
            <w:vAlign w:val="center"/>
          </w:tcPr>
          <w:p w14:paraId="222A525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CA483E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E6521A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8C8598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92099A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2B3087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9596A1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0646F308"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0.204 </w:t>
            </w:r>
          </w:p>
        </w:tc>
      </w:tr>
      <w:tr w:rsidR="00930BB2" w:rsidRPr="00A20FE7" w14:paraId="3C8B5490" w14:textId="77777777" w:rsidTr="00930BB2">
        <w:tc>
          <w:tcPr>
            <w:tcW w:w="2245" w:type="dxa"/>
            <w:tcMar>
              <w:top w:w="20" w:type="nil"/>
              <w:left w:w="20" w:type="nil"/>
              <w:bottom w:w="20" w:type="nil"/>
              <w:right w:w="20" w:type="nil"/>
            </w:tcMar>
            <w:vAlign w:val="center"/>
          </w:tcPr>
          <w:p w14:paraId="1E3679F2"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LEC - HCB </w:t>
            </w:r>
          </w:p>
        </w:tc>
        <w:tc>
          <w:tcPr>
            <w:tcW w:w="700" w:type="dxa"/>
            <w:tcMar>
              <w:top w:w="20" w:type="nil"/>
              <w:left w:w="20" w:type="nil"/>
              <w:bottom w:w="20" w:type="nil"/>
              <w:right w:w="20" w:type="nil"/>
            </w:tcMar>
            <w:vAlign w:val="center"/>
          </w:tcPr>
          <w:p w14:paraId="2AF0F17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0.051</w:t>
            </w:r>
          </w:p>
        </w:tc>
        <w:tc>
          <w:tcPr>
            <w:tcW w:w="700" w:type="dxa"/>
            <w:tcMar>
              <w:top w:w="20" w:type="nil"/>
              <w:left w:w="20" w:type="nil"/>
              <w:bottom w:w="20" w:type="nil"/>
              <w:right w:w="20" w:type="nil"/>
            </w:tcMar>
            <w:vAlign w:val="center"/>
          </w:tcPr>
          <w:p w14:paraId="786D0134"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0.199</w:t>
            </w:r>
          </w:p>
        </w:tc>
        <w:tc>
          <w:tcPr>
            <w:tcW w:w="700" w:type="dxa"/>
            <w:tcMar>
              <w:top w:w="20" w:type="nil"/>
              <w:left w:w="20" w:type="nil"/>
              <w:bottom w:w="20" w:type="nil"/>
              <w:right w:w="20" w:type="nil"/>
            </w:tcMar>
            <w:vAlign w:val="center"/>
          </w:tcPr>
          <w:p w14:paraId="08D41BF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C41476A"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7F5D9D4C"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45686D1D"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0.222</w:t>
            </w:r>
          </w:p>
        </w:tc>
        <w:tc>
          <w:tcPr>
            <w:tcW w:w="700" w:type="dxa"/>
            <w:tcMar>
              <w:top w:w="20" w:type="nil"/>
              <w:left w:w="20" w:type="nil"/>
              <w:bottom w:w="20" w:type="nil"/>
              <w:right w:w="20" w:type="nil"/>
            </w:tcMar>
            <w:vAlign w:val="center"/>
          </w:tcPr>
          <w:p w14:paraId="522EB8C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574139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121865E"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6E2C8230"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0.504 </w:t>
            </w:r>
          </w:p>
        </w:tc>
      </w:tr>
      <w:tr w:rsidR="00930BB2" w:rsidRPr="00A20FE7" w14:paraId="7B47DE9A" w14:textId="77777777" w:rsidTr="00930BB2">
        <w:tc>
          <w:tcPr>
            <w:tcW w:w="2245" w:type="dxa"/>
            <w:tcMar>
              <w:top w:w="20" w:type="nil"/>
              <w:left w:w="20" w:type="nil"/>
              <w:bottom w:w="20" w:type="nil"/>
              <w:right w:w="20" w:type="nil"/>
            </w:tcMar>
            <w:vAlign w:val="center"/>
          </w:tcPr>
          <w:p w14:paraId="4837EC28"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LEC - EDM_S </w:t>
            </w:r>
          </w:p>
        </w:tc>
        <w:tc>
          <w:tcPr>
            <w:tcW w:w="700" w:type="dxa"/>
            <w:tcMar>
              <w:top w:w="20" w:type="nil"/>
              <w:left w:w="20" w:type="nil"/>
              <w:bottom w:w="20" w:type="nil"/>
              <w:right w:w="20" w:type="nil"/>
            </w:tcMar>
            <w:vAlign w:val="center"/>
          </w:tcPr>
          <w:p w14:paraId="246B9E3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4FA0613E"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0.211</w:t>
            </w:r>
          </w:p>
        </w:tc>
        <w:tc>
          <w:tcPr>
            <w:tcW w:w="700" w:type="dxa"/>
            <w:tcMar>
              <w:top w:w="20" w:type="nil"/>
              <w:left w:w="20" w:type="nil"/>
              <w:bottom w:w="20" w:type="nil"/>
              <w:right w:w="20" w:type="nil"/>
            </w:tcMar>
            <w:vAlign w:val="center"/>
          </w:tcPr>
          <w:p w14:paraId="56BF5E2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068B640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shd w:val="clear" w:color="auto" w:fill="FFFFFF"/>
            <w:tcMar>
              <w:top w:w="20" w:type="nil"/>
              <w:left w:w="20" w:type="nil"/>
              <w:bottom w:w="20" w:type="nil"/>
              <w:right w:w="20" w:type="nil"/>
            </w:tcMar>
            <w:vAlign w:val="center"/>
          </w:tcPr>
          <w:p w14:paraId="2C88DE99"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19D051B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7DB09C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912272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2873D3B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7E8CD15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0.215 </w:t>
            </w:r>
          </w:p>
        </w:tc>
      </w:tr>
      <w:tr w:rsidR="00930BB2" w:rsidRPr="00A20FE7" w14:paraId="10D7E1D6" w14:textId="77777777" w:rsidTr="00930BB2">
        <w:tc>
          <w:tcPr>
            <w:tcW w:w="2245" w:type="dxa"/>
            <w:tcMar>
              <w:top w:w="20" w:type="nil"/>
              <w:left w:w="20" w:type="nil"/>
              <w:bottom w:w="20" w:type="nil"/>
              <w:right w:w="20" w:type="nil"/>
            </w:tcMar>
            <w:vAlign w:val="center"/>
          </w:tcPr>
          <w:p w14:paraId="0F33BEA6"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LEC - SEB </w:t>
            </w:r>
          </w:p>
        </w:tc>
        <w:tc>
          <w:tcPr>
            <w:tcW w:w="700" w:type="dxa"/>
            <w:tcMar>
              <w:top w:w="20" w:type="nil"/>
              <w:left w:w="20" w:type="nil"/>
              <w:bottom w:w="20" w:type="nil"/>
              <w:right w:w="20" w:type="nil"/>
            </w:tcMar>
            <w:vAlign w:val="center"/>
          </w:tcPr>
          <w:p w14:paraId="4F258DCB"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6EBD7405" w14:textId="77777777" w:rsidR="00040479" w:rsidRPr="00A20FE7" w:rsidRDefault="00040479" w:rsidP="00550B33">
            <w:pPr>
              <w:autoSpaceDE w:val="0"/>
              <w:autoSpaceDN w:val="0"/>
              <w:adjustRightInd w:val="0"/>
              <w:spacing w:after="0" w:line="240" w:lineRule="atLeast"/>
              <w:jc w:val="center"/>
              <w:rPr>
                <w:rFonts w:ascii="Times" w:hAnsi="Times" w:cs="Times"/>
                <w:color w:val="000000"/>
                <w:sz w:val="18"/>
                <w:szCs w:val="18"/>
                <w:lang w:bidi="hi-IN"/>
              </w:rPr>
            </w:pPr>
            <w:r w:rsidRPr="00A20FE7">
              <w:rPr>
                <w:rFonts w:cs="Arial"/>
                <w:color w:val="000000"/>
                <w:sz w:val="18"/>
                <w:szCs w:val="18"/>
                <w:lang w:bidi="hi-IN"/>
              </w:rPr>
              <w:t>0.144</w:t>
            </w:r>
          </w:p>
        </w:tc>
        <w:tc>
          <w:tcPr>
            <w:tcW w:w="700" w:type="dxa"/>
            <w:tcMar>
              <w:top w:w="20" w:type="nil"/>
              <w:left w:w="20" w:type="nil"/>
              <w:bottom w:w="20" w:type="nil"/>
              <w:right w:w="20" w:type="nil"/>
            </w:tcMar>
            <w:vAlign w:val="center"/>
          </w:tcPr>
          <w:p w14:paraId="7518C46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52335C2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176297E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C69ABE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CF42E28"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7E9B96AF"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700" w:type="dxa"/>
            <w:tcMar>
              <w:top w:w="20" w:type="nil"/>
              <w:left w:w="20" w:type="nil"/>
              <w:bottom w:w="20" w:type="nil"/>
              <w:right w:w="20" w:type="nil"/>
            </w:tcMar>
            <w:vAlign w:val="center"/>
          </w:tcPr>
          <w:p w14:paraId="31F0B5D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p>
        </w:tc>
        <w:tc>
          <w:tcPr>
            <w:tcW w:w="990" w:type="dxa"/>
            <w:tcMar>
              <w:top w:w="20" w:type="nil"/>
              <w:left w:w="20" w:type="nil"/>
              <w:bottom w:w="20" w:type="nil"/>
              <w:right w:w="20" w:type="nil"/>
            </w:tcMar>
            <w:vAlign w:val="center"/>
          </w:tcPr>
          <w:p w14:paraId="7A7C6266"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0.144 </w:t>
            </w:r>
          </w:p>
        </w:tc>
      </w:tr>
      <w:tr w:rsidR="00930BB2" w:rsidRPr="00A20FE7" w14:paraId="351E0073" w14:textId="77777777" w:rsidTr="00930BB2">
        <w:tc>
          <w:tcPr>
            <w:tcW w:w="2245" w:type="dxa"/>
            <w:tcMar>
              <w:top w:w="20" w:type="nil"/>
              <w:left w:w="20" w:type="nil"/>
              <w:bottom w:w="20" w:type="nil"/>
              <w:right w:w="20" w:type="nil"/>
            </w:tcMar>
            <w:vAlign w:val="center"/>
          </w:tcPr>
          <w:p w14:paraId="44FF8F1B" w14:textId="77777777" w:rsidR="00040479" w:rsidRPr="00A20FE7" w:rsidRDefault="00040479" w:rsidP="00550B33">
            <w:pPr>
              <w:autoSpaceDE w:val="0"/>
              <w:autoSpaceDN w:val="0"/>
              <w:adjustRightInd w:val="0"/>
              <w:spacing w:after="0" w:line="280" w:lineRule="atLeast"/>
              <w:jc w:val="left"/>
              <w:rPr>
                <w:rFonts w:ascii="Times" w:hAnsi="Times" w:cs="Times"/>
                <w:color w:val="000000"/>
                <w:sz w:val="18"/>
                <w:szCs w:val="18"/>
                <w:lang w:bidi="hi-IN"/>
              </w:rPr>
            </w:pPr>
            <w:r w:rsidRPr="00A20FE7">
              <w:rPr>
                <w:rFonts w:cs="Arial"/>
                <w:color w:val="000000"/>
                <w:sz w:val="18"/>
                <w:szCs w:val="18"/>
                <w:lang w:bidi="hi-IN"/>
              </w:rPr>
              <w:t xml:space="preserve">Average Wheeling Charge, USc /kWh </w:t>
            </w:r>
          </w:p>
        </w:tc>
        <w:tc>
          <w:tcPr>
            <w:tcW w:w="700" w:type="dxa"/>
            <w:tcMar>
              <w:top w:w="20" w:type="nil"/>
              <w:left w:w="20" w:type="nil"/>
              <w:bottom w:w="20" w:type="nil"/>
              <w:right w:w="20" w:type="nil"/>
            </w:tcMar>
            <w:vAlign w:val="center"/>
          </w:tcPr>
          <w:p w14:paraId="1B21D9C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0.041</w:t>
            </w:r>
          </w:p>
        </w:tc>
        <w:tc>
          <w:tcPr>
            <w:tcW w:w="700" w:type="dxa"/>
            <w:tcMar>
              <w:top w:w="20" w:type="nil"/>
              <w:left w:w="20" w:type="nil"/>
              <w:bottom w:w="20" w:type="nil"/>
              <w:right w:w="20" w:type="nil"/>
            </w:tcMar>
            <w:vAlign w:val="center"/>
          </w:tcPr>
          <w:p w14:paraId="7CAC480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0.176</w:t>
            </w:r>
          </w:p>
        </w:tc>
        <w:tc>
          <w:tcPr>
            <w:tcW w:w="700" w:type="dxa"/>
            <w:tcMar>
              <w:top w:w="20" w:type="nil"/>
              <w:left w:w="20" w:type="nil"/>
              <w:bottom w:w="20" w:type="nil"/>
              <w:right w:w="20" w:type="nil"/>
            </w:tcMar>
            <w:vAlign w:val="center"/>
          </w:tcPr>
          <w:p w14:paraId="78546991"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0.010</w:t>
            </w:r>
          </w:p>
        </w:tc>
        <w:tc>
          <w:tcPr>
            <w:tcW w:w="700" w:type="dxa"/>
            <w:tcMar>
              <w:top w:w="20" w:type="nil"/>
              <w:left w:w="20" w:type="nil"/>
              <w:bottom w:w="20" w:type="nil"/>
              <w:right w:w="20" w:type="nil"/>
            </w:tcMar>
            <w:vAlign w:val="center"/>
          </w:tcPr>
          <w:p w14:paraId="5962D9E2"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0.032</w:t>
            </w:r>
          </w:p>
        </w:tc>
        <w:tc>
          <w:tcPr>
            <w:tcW w:w="700" w:type="dxa"/>
            <w:tcMar>
              <w:top w:w="20" w:type="nil"/>
              <w:left w:w="20" w:type="nil"/>
              <w:bottom w:w="20" w:type="nil"/>
              <w:right w:w="20" w:type="nil"/>
            </w:tcMar>
            <w:vAlign w:val="center"/>
          </w:tcPr>
          <w:p w14:paraId="404D96D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0.004</w:t>
            </w:r>
          </w:p>
        </w:tc>
        <w:tc>
          <w:tcPr>
            <w:tcW w:w="700" w:type="dxa"/>
            <w:tcMar>
              <w:top w:w="20" w:type="nil"/>
              <w:left w:w="20" w:type="nil"/>
              <w:bottom w:w="20" w:type="nil"/>
              <w:right w:w="20" w:type="nil"/>
            </w:tcMar>
            <w:vAlign w:val="center"/>
          </w:tcPr>
          <w:p w14:paraId="7BA03A26"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0.191</w:t>
            </w:r>
          </w:p>
        </w:tc>
        <w:tc>
          <w:tcPr>
            <w:tcW w:w="700" w:type="dxa"/>
            <w:tcMar>
              <w:top w:w="20" w:type="nil"/>
              <w:left w:w="20" w:type="nil"/>
              <w:bottom w:w="20" w:type="nil"/>
              <w:right w:w="20" w:type="nil"/>
            </w:tcMar>
            <w:vAlign w:val="center"/>
          </w:tcPr>
          <w:p w14:paraId="4CE3BCA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0.125</w:t>
            </w:r>
          </w:p>
        </w:tc>
        <w:tc>
          <w:tcPr>
            <w:tcW w:w="700" w:type="dxa"/>
            <w:tcMar>
              <w:top w:w="20" w:type="nil"/>
              <w:left w:w="20" w:type="nil"/>
              <w:bottom w:w="20" w:type="nil"/>
              <w:right w:w="20" w:type="nil"/>
            </w:tcMar>
            <w:vAlign w:val="center"/>
          </w:tcPr>
          <w:p w14:paraId="57C99F25"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0.041</w:t>
            </w:r>
          </w:p>
        </w:tc>
        <w:tc>
          <w:tcPr>
            <w:tcW w:w="700" w:type="dxa"/>
            <w:tcMar>
              <w:top w:w="20" w:type="nil"/>
              <w:left w:w="20" w:type="nil"/>
              <w:bottom w:w="20" w:type="nil"/>
              <w:right w:w="20" w:type="nil"/>
            </w:tcMar>
            <w:vAlign w:val="center"/>
          </w:tcPr>
          <w:p w14:paraId="6CEB430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0.351</w:t>
            </w:r>
          </w:p>
        </w:tc>
        <w:tc>
          <w:tcPr>
            <w:tcW w:w="990" w:type="dxa"/>
            <w:tcMar>
              <w:top w:w="20" w:type="nil"/>
              <w:left w:w="20" w:type="nil"/>
              <w:bottom w:w="20" w:type="nil"/>
              <w:right w:w="20" w:type="nil"/>
            </w:tcMar>
            <w:vAlign w:val="center"/>
          </w:tcPr>
          <w:p w14:paraId="187755A9" w14:textId="77777777" w:rsidR="00040479" w:rsidRPr="00A20FE7" w:rsidRDefault="00040479" w:rsidP="00550B33">
            <w:pPr>
              <w:autoSpaceDE w:val="0"/>
              <w:autoSpaceDN w:val="0"/>
              <w:adjustRightInd w:val="0"/>
              <w:spacing w:after="0" w:line="280" w:lineRule="atLeast"/>
              <w:rPr>
                <w:rFonts w:ascii="Times" w:hAnsi="Times" w:cs="Times"/>
                <w:color w:val="000000"/>
                <w:sz w:val="18"/>
                <w:szCs w:val="18"/>
                <w:lang w:bidi="hi-IN"/>
              </w:rPr>
            </w:pPr>
            <w:r w:rsidRPr="00A20FE7">
              <w:rPr>
                <w:rFonts w:cs="Arial"/>
                <w:color w:val="000000"/>
                <w:sz w:val="18"/>
                <w:szCs w:val="18"/>
                <w:lang w:bidi="hi-IN"/>
              </w:rPr>
              <w:t xml:space="preserve">0.279 </w:t>
            </w:r>
          </w:p>
        </w:tc>
      </w:tr>
      <w:tr w:rsidR="00930BB2" w:rsidRPr="00A20FE7" w14:paraId="124B93FC" w14:textId="77777777" w:rsidTr="00930BB2">
        <w:tc>
          <w:tcPr>
            <w:tcW w:w="2245" w:type="dxa"/>
            <w:tcMar>
              <w:top w:w="20" w:type="nil"/>
              <w:left w:w="20" w:type="nil"/>
              <w:bottom w:w="20" w:type="nil"/>
              <w:right w:w="20" w:type="nil"/>
            </w:tcMar>
            <w:vAlign w:val="center"/>
          </w:tcPr>
          <w:p w14:paraId="5B03FD43" w14:textId="77777777" w:rsidR="00040479" w:rsidRPr="00A20FE7" w:rsidRDefault="00040479" w:rsidP="00550B33">
            <w:pPr>
              <w:autoSpaceDE w:val="0"/>
              <w:autoSpaceDN w:val="0"/>
              <w:adjustRightInd w:val="0"/>
              <w:spacing w:after="0" w:line="240" w:lineRule="atLeast"/>
              <w:jc w:val="left"/>
              <w:rPr>
                <w:rFonts w:ascii="Times" w:hAnsi="Times" w:cs="Times"/>
                <w:color w:val="000000"/>
                <w:sz w:val="18"/>
                <w:szCs w:val="18"/>
                <w:lang w:bidi="hi-IN"/>
              </w:rPr>
            </w:pPr>
            <w:r w:rsidRPr="00A20FE7">
              <w:rPr>
                <w:rFonts w:cs="Arial"/>
                <w:color w:val="000000"/>
                <w:sz w:val="18"/>
                <w:szCs w:val="18"/>
                <w:lang w:bidi="hi-IN"/>
              </w:rPr>
              <w:t xml:space="preserve">Utility </w:t>
            </w:r>
          </w:p>
        </w:tc>
        <w:tc>
          <w:tcPr>
            <w:tcW w:w="700" w:type="dxa"/>
            <w:tcMar>
              <w:top w:w="20" w:type="nil"/>
              <w:left w:w="20" w:type="nil"/>
              <w:bottom w:w="20" w:type="nil"/>
              <w:right w:w="20" w:type="nil"/>
            </w:tcMar>
            <w:vAlign w:val="center"/>
          </w:tcPr>
          <w:p w14:paraId="4317EA1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BPC</w:t>
            </w:r>
          </w:p>
        </w:tc>
        <w:tc>
          <w:tcPr>
            <w:tcW w:w="700" w:type="dxa"/>
            <w:tcMar>
              <w:top w:w="20" w:type="nil"/>
              <w:left w:w="20" w:type="nil"/>
              <w:bottom w:w="20" w:type="nil"/>
              <w:right w:w="20" w:type="nil"/>
            </w:tcMar>
            <w:vAlign w:val="center"/>
          </w:tcPr>
          <w:p w14:paraId="077CBD77"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ESKOM</w:t>
            </w:r>
          </w:p>
        </w:tc>
        <w:tc>
          <w:tcPr>
            <w:tcW w:w="700" w:type="dxa"/>
            <w:tcMar>
              <w:top w:w="20" w:type="nil"/>
              <w:left w:w="20" w:type="nil"/>
              <w:bottom w:w="20" w:type="nil"/>
              <w:right w:w="20" w:type="nil"/>
            </w:tcMar>
            <w:vAlign w:val="center"/>
          </w:tcPr>
          <w:p w14:paraId="577D45C9"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EDM (S)</w:t>
            </w:r>
          </w:p>
        </w:tc>
        <w:tc>
          <w:tcPr>
            <w:tcW w:w="700" w:type="dxa"/>
            <w:tcMar>
              <w:top w:w="20" w:type="nil"/>
              <w:left w:w="20" w:type="nil"/>
              <w:bottom w:w="20" w:type="nil"/>
              <w:right w:w="20" w:type="nil"/>
            </w:tcMar>
            <w:vAlign w:val="center"/>
          </w:tcPr>
          <w:p w14:paraId="7BEB1BC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EDM (N)</w:t>
            </w:r>
          </w:p>
        </w:tc>
        <w:tc>
          <w:tcPr>
            <w:tcW w:w="700" w:type="dxa"/>
            <w:tcMar>
              <w:top w:w="20" w:type="nil"/>
              <w:left w:w="20" w:type="nil"/>
              <w:bottom w:w="20" w:type="nil"/>
              <w:right w:w="20" w:type="nil"/>
            </w:tcMar>
            <w:vAlign w:val="center"/>
          </w:tcPr>
          <w:p w14:paraId="05950FB0"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SEC</w:t>
            </w:r>
          </w:p>
        </w:tc>
        <w:tc>
          <w:tcPr>
            <w:tcW w:w="700" w:type="dxa"/>
            <w:tcMar>
              <w:top w:w="20" w:type="nil"/>
              <w:left w:w="20" w:type="nil"/>
              <w:bottom w:w="20" w:type="nil"/>
              <w:right w:w="20" w:type="nil"/>
            </w:tcMar>
            <w:vAlign w:val="center"/>
          </w:tcPr>
          <w:p w14:paraId="4287928D"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ZESA</w:t>
            </w:r>
          </w:p>
        </w:tc>
        <w:tc>
          <w:tcPr>
            <w:tcW w:w="700" w:type="dxa"/>
            <w:tcMar>
              <w:top w:w="20" w:type="nil"/>
              <w:left w:w="20" w:type="nil"/>
              <w:bottom w:w="20" w:type="nil"/>
              <w:right w:w="20" w:type="nil"/>
            </w:tcMar>
            <w:vAlign w:val="center"/>
          </w:tcPr>
          <w:p w14:paraId="660E0D3A"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ZESCO</w:t>
            </w:r>
          </w:p>
        </w:tc>
        <w:tc>
          <w:tcPr>
            <w:tcW w:w="700" w:type="dxa"/>
            <w:tcMar>
              <w:top w:w="20" w:type="nil"/>
              <w:left w:w="20" w:type="nil"/>
              <w:bottom w:w="20" w:type="nil"/>
              <w:right w:w="20" w:type="nil"/>
            </w:tcMar>
            <w:vAlign w:val="center"/>
          </w:tcPr>
          <w:p w14:paraId="441E5A63"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CEC</w:t>
            </w:r>
          </w:p>
        </w:tc>
        <w:tc>
          <w:tcPr>
            <w:tcW w:w="700" w:type="dxa"/>
            <w:tcMar>
              <w:top w:w="20" w:type="nil"/>
              <w:left w:w="20" w:type="nil"/>
              <w:bottom w:w="20" w:type="nil"/>
              <w:right w:w="20" w:type="nil"/>
            </w:tcMar>
            <w:vAlign w:val="center"/>
          </w:tcPr>
          <w:p w14:paraId="5B7E6C84" w14:textId="77777777" w:rsidR="00040479" w:rsidRPr="00A20FE7" w:rsidRDefault="00040479" w:rsidP="00550B33">
            <w:pPr>
              <w:autoSpaceDE w:val="0"/>
              <w:autoSpaceDN w:val="0"/>
              <w:adjustRightInd w:val="0"/>
              <w:spacing w:after="0" w:line="280" w:lineRule="atLeast"/>
              <w:jc w:val="center"/>
              <w:rPr>
                <w:rFonts w:ascii="Times" w:hAnsi="Times" w:cs="Times"/>
                <w:color w:val="000000"/>
                <w:sz w:val="18"/>
                <w:szCs w:val="18"/>
                <w:lang w:bidi="hi-IN"/>
              </w:rPr>
            </w:pPr>
            <w:r w:rsidRPr="00A20FE7">
              <w:rPr>
                <w:rFonts w:cs="Arial"/>
                <w:color w:val="000000"/>
                <w:sz w:val="18"/>
                <w:szCs w:val="18"/>
                <w:lang w:bidi="hi-IN"/>
              </w:rPr>
              <w:t>NAMPOWER</w:t>
            </w:r>
          </w:p>
        </w:tc>
        <w:tc>
          <w:tcPr>
            <w:tcW w:w="990" w:type="dxa"/>
            <w:shd w:val="clear" w:color="auto" w:fill="D0D0D0"/>
            <w:tcMar>
              <w:top w:w="20" w:type="nil"/>
              <w:left w:w="20" w:type="nil"/>
              <w:bottom w:w="20" w:type="nil"/>
              <w:right w:w="20" w:type="nil"/>
            </w:tcMar>
            <w:vAlign w:val="center"/>
          </w:tcPr>
          <w:p w14:paraId="1C15FB04" w14:textId="77777777" w:rsidR="00040479" w:rsidRPr="00A20FE7" w:rsidRDefault="00040479" w:rsidP="00550B33">
            <w:pPr>
              <w:autoSpaceDE w:val="0"/>
              <w:autoSpaceDN w:val="0"/>
              <w:adjustRightInd w:val="0"/>
              <w:spacing w:after="0" w:line="240" w:lineRule="atLeast"/>
              <w:rPr>
                <w:rFonts w:ascii="Times" w:hAnsi="Times" w:cs="Times"/>
                <w:color w:val="000000"/>
                <w:sz w:val="18"/>
                <w:szCs w:val="18"/>
                <w:lang w:bidi="hi-IN"/>
              </w:rPr>
            </w:pPr>
            <w:r w:rsidRPr="00A20FE7">
              <w:rPr>
                <w:rFonts w:cs="Arial"/>
                <w:color w:val="000000"/>
                <w:sz w:val="18"/>
                <w:szCs w:val="18"/>
                <w:lang w:bidi="hi-IN"/>
              </w:rPr>
              <w:t xml:space="preserve">SAPP </w:t>
            </w:r>
          </w:p>
        </w:tc>
      </w:tr>
    </w:tbl>
    <w:p w14:paraId="7878E19E" w14:textId="77777777" w:rsidR="00040479" w:rsidRDefault="00040479" w:rsidP="000A4DD2"/>
    <w:p w14:paraId="507457A5" w14:textId="77777777" w:rsidR="00040479" w:rsidRDefault="00040479" w:rsidP="000A4DD2"/>
    <w:p w14:paraId="1A53287D" w14:textId="77777777" w:rsidR="00040479" w:rsidRDefault="00040479" w:rsidP="000A4DD2"/>
    <w:p w14:paraId="03450B32" w14:textId="7BB7575C" w:rsidR="007407EA" w:rsidRPr="007407EA" w:rsidRDefault="000A4DD2" w:rsidP="007407EA">
      <w:pPr>
        <w:spacing w:after="0"/>
        <w:jc w:val="left"/>
        <w:rPr>
          <w:rFonts w:cs="Arial"/>
          <w:bCs/>
        </w:rPr>
      </w:pPr>
      <w:r>
        <w:rPr>
          <w:rFonts w:cs="Arial"/>
          <w:bCs/>
        </w:rPr>
        <w:br w:type="page"/>
      </w:r>
      <w:bookmarkStart w:id="148" w:name="_Toc482889784"/>
      <w:bookmarkStart w:id="149" w:name="_Toc482889812"/>
      <w:bookmarkStart w:id="150" w:name="_Toc482890288"/>
      <w:bookmarkStart w:id="151" w:name="_Toc482890367"/>
      <w:bookmarkStart w:id="152" w:name="_Toc482890436"/>
      <w:bookmarkStart w:id="153" w:name="_Toc482890576"/>
    </w:p>
    <w:p w14:paraId="3FFDD0E7" w14:textId="77777777" w:rsidR="00D21B44" w:rsidRPr="00864A34" w:rsidRDefault="00D21B44" w:rsidP="00D21B44">
      <w:pPr>
        <w:rPr>
          <w:rFonts w:cs="Arial"/>
          <w:lang w:eastAsia="en-US"/>
        </w:rPr>
        <w:sectPr w:rsidR="00D21B44" w:rsidRPr="00864A34" w:rsidSect="003A4116">
          <w:footerReference w:type="default" r:id="rId31"/>
          <w:pgSz w:w="12240" w:h="15840" w:code="1"/>
          <w:pgMar w:top="1440" w:right="1440" w:bottom="1440" w:left="1440" w:header="720" w:footer="720" w:gutter="0"/>
          <w:cols w:space="720"/>
          <w:noEndnote/>
          <w:docGrid w:linePitch="299"/>
        </w:sectPr>
      </w:pPr>
      <w:bookmarkStart w:id="154" w:name="_Toc327184792"/>
      <w:bookmarkEnd w:id="148"/>
      <w:bookmarkEnd w:id="149"/>
      <w:bookmarkEnd w:id="150"/>
      <w:bookmarkEnd w:id="151"/>
      <w:bookmarkEnd w:id="152"/>
      <w:bookmarkEnd w:id="153"/>
    </w:p>
    <w:bookmarkEnd w:id="154"/>
    <w:p w14:paraId="07440AD5" w14:textId="77777777" w:rsidR="00651C8A" w:rsidRPr="00864A34" w:rsidRDefault="00651C8A" w:rsidP="00FB5094">
      <w:pPr>
        <w:rPr>
          <w:rFonts w:cs="Arial"/>
        </w:rPr>
      </w:pPr>
    </w:p>
    <w:p w14:paraId="586049D8" w14:textId="77777777" w:rsidR="00651C8A" w:rsidRPr="00864A34" w:rsidRDefault="00651C8A" w:rsidP="00FB5094">
      <w:pPr>
        <w:rPr>
          <w:rFonts w:cs="Arial"/>
        </w:rPr>
      </w:pPr>
    </w:p>
    <w:p w14:paraId="00FDD3B7" w14:textId="77777777" w:rsidR="00651C8A" w:rsidRPr="00864A34" w:rsidRDefault="00651C8A" w:rsidP="00FB5094">
      <w:pPr>
        <w:rPr>
          <w:rFonts w:cs="Arial"/>
        </w:rPr>
      </w:pPr>
    </w:p>
    <w:p w14:paraId="24AFCAB4" w14:textId="77777777" w:rsidR="00651C8A" w:rsidRPr="00864A34" w:rsidRDefault="00651C8A" w:rsidP="00FB5094">
      <w:pPr>
        <w:rPr>
          <w:rFonts w:cs="Arial"/>
        </w:rPr>
      </w:pPr>
    </w:p>
    <w:p w14:paraId="07003037" w14:textId="77777777" w:rsidR="00651C8A" w:rsidRPr="00864A34" w:rsidRDefault="00651C8A" w:rsidP="00FB5094">
      <w:pPr>
        <w:rPr>
          <w:rFonts w:cs="Arial"/>
        </w:rPr>
      </w:pPr>
    </w:p>
    <w:p w14:paraId="2D465E46" w14:textId="77777777" w:rsidR="00651C8A" w:rsidRPr="00864A34" w:rsidRDefault="00651C8A" w:rsidP="00FB5094">
      <w:pPr>
        <w:rPr>
          <w:rFonts w:cs="Arial"/>
        </w:rPr>
      </w:pPr>
    </w:p>
    <w:p w14:paraId="7F9B6CAB" w14:textId="77777777" w:rsidR="00651C8A" w:rsidRPr="00864A34" w:rsidRDefault="00651C8A" w:rsidP="00FB5094">
      <w:pPr>
        <w:rPr>
          <w:rFonts w:cs="Arial"/>
        </w:rPr>
      </w:pPr>
    </w:p>
    <w:p w14:paraId="08A4DE63" w14:textId="77777777" w:rsidR="00651C8A" w:rsidRPr="00864A34" w:rsidRDefault="00651C8A" w:rsidP="00FB5094">
      <w:pPr>
        <w:rPr>
          <w:rFonts w:cs="Arial"/>
        </w:rPr>
      </w:pPr>
    </w:p>
    <w:p w14:paraId="37F43A62" w14:textId="77777777" w:rsidR="00651C8A" w:rsidRPr="00864A34" w:rsidRDefault="00651C8A" w:rsidP="00FB5094">
      <w:pPr>
        <w:rPr>
          <w:rFonts w:cs="Arial"/>
        </w:rPr>
      </w:pPr>
    </w:p>
    <w:p w14:paraId="2F7080D8" w14:textId="77777777" w:rsidR="00651C8A" w:rsidRPr="00864A34" w:rsidRDefault="00651C8A" w:rsidP="00FB5094">
      <w:pPr>
        <w:rPr>
          <w:rFonts w:cs="Arial"/>
        </w:rPr>
      </w:pPr>
    </w:p>
    <w:p w14:paraId="0A0B9DA3" w14:textId="77777777" w:rsidR="00651C8A" w:rsidRPr="00864A34" w:rsidRDefault="00651C8A" w:rsidP="00FB5094">
      <w:pPr>
        <w:rPr>
          <w:rFonts w:cs="Arial"/>
        </w:rPr>
      </w:pPr>
    </w:p>
    <w:p w14:paraId="7AAB2E68" w14:textId="77777777" w:rsidR="00651C8A" w:rsidRPr="00864A34" w:rsidRDefault="00651C8A" w:rsidP="00FB5094">
      <w:pPr>
        <w:rPr>
          <w:rFonts w:cs="Arial"/>
        </w:rPr>
      </w:pPr>
    </w:p>
    <w:p w14:paraId="142054D4" w14:textId="77777777" w:rsidR="00651C8A" w:rsidRPr="00864A34" w:rsidRDefault="00651C8A" w:rsidP="00FB5094">
      <w:pPr>
        <w:rPr>
          <w:rFonts w:cs="Arial"/>
        </w:rPr>
      </w:pPr>
    </w:p>
    <w:p w14:paraId="37630509" w14:textId="77777777" w:rsidR="00651C8A" w:rsidRPr="00864A34" w:rsidRDefault="00651C8A" w:rsidP="00FB5094">
      <w:pPr>
        <w:rPr>
          <w:rFonts w:cs="Arial"/>
        </w:rPr>
      </w:pPr>
    </w:p>
    <w:p w14:paraId="6CC4F0B3" w14:textId="77777777" w:rsidR="00651C8A" w:rsidRPr="00864A34" w:rsidRDefault="00651C8A" w:rsidP="00FB5094">
      <w:pPr>
        <w:rPr>
          <w:rFonts w:cs="Arial"/>
        </w:rPr>
      </w:pPr>
    </w:p>
    <w:p w14:paraId="5A52F956" w14:textId="77777777" w:rsidR="00651C8A" w:rsidRPr="00864A34" w:rsidRDefault="00651C8A" w:rsidP="00FB5094">
      <w:pPr>
        <w:rPr>
          <w:rFonts w:cs="Arial"/>
        </w:rPr>
      </w:pPr>
    </w:p>
    <w:p w14:paraId="3C345140" w14:textId="77777777" w:rsidR="00651C8A" w:rsidRPr="00864A34" w:rsidRDefault="00651C8A" w:rsidP="00FB5094">
      <w:pPr>
        <w:rPr>
          <w:rFonts w:cs="Arial"/>
        </w:rPr>
      </w:pPr>
    </w:p>
    <w:p w14:paraId="3E1DEB80" w14:textId="77777777" w:rsidR="00651C8A" w:rsidRPr="00864A34" w:rsidRDefault="00651C8A" w:rsidP="00FB5094">
      <w:pPr>
        <w:rPr>
          <w:rFonts w:cs="Arial"/>
        </w:rPr>
      </w:pPr>
    </w:p>
    <w:p w14:paraId="1CE072E1" w14:textId="77777777" w:rsidR="00651C8A" w:rsidRPr="00864A34" w:rsidRDefault="00651C8A" w:rsidP="00FB5094">
      <w:pPr>
        <w:rPr>
          <w:rFonts w:cs="Arial"/>
        </w:rPr>
      </w:pPr>
    </w:p>
    <w:p w14:paraId="69A3F25C" w14:textId="77777777" w:rsidR="00BC1AFB" w:rsidRPr="00864A34" w:rsidRDefault="00BC1AFB" w:rsidP="00FB5094">
      <w:pPr>
        <w:rPr>
          <w:rFonts w:cs="Arial"/>
        </w:rPr>
      </w:pPr>
    </w:p>
    <w:sectPr w:rsidR="00BC1AFB" w:rsidRPr="00864A34" w:rsidSect="00131F67">
      <w:headerReference w:type="default" r:id="rId32"/>
      <w:footerReference w:type="default" r:id="rId33"/>
      <w:pgSz w:w="12240" w:h="15840" w:code="1"/>
      <w:pgMar w:top="1411" w:right="1411" w:bottom="1411" w:left="1411" w:header="720" w:footer="720" w:gutter="0"/>
      <w:pgNumType w:start="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84FA1" w16cid:durableId="1F3D2BFC"/>
  <w16cid:commentId w16cid:paraId="47A942CE" w16cid:durableId="1F3D2C58"/>
  <w16cid:commentId w16cid:paraId="69FFC3A1" w16cid:durableId="1F3D2AA3"/>
  <w16cid:commentId w16cid:paraId="3A0CF608" w16cid:durableId="1F3D2AA4"/>
  <w16cid:commentId w16cid:paraId="760D2A67" w16cid:durableId="1F3D2AA5"/>
  <w16cid:commentId w16cid:paraId="13161AD1" w16cid:durableId="1F3D2D09"/>
  <w16cid:commentId w16cid:paraId="71FCE6F1" w16cid:durableId="1F3D2AA6"/>
  <w16cid:commentId w16cid:paraId="7CF1CEA9" w16cid:durableId="1F3D2AA7"/>
  <w16cid:commentId w16cid:paraId="6221F1CF" w16cid:durableId="1F3D2D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B758" w14:textId="77777777" w:rsidR="0070253D" w:rsidRDefault="0070253D" w:rsidP="00FB5094">
      <w:r>
        <w:separator/>
      </w:r>
    </w:p>
    <w:p w14:paraId="6F6C50A8" w14:textId="77777777" w:rsidR="0070253D" w:rsidRDefault="0070253D" w:rsidP="00FB5094"/>
  </w:endnote>
  <w:endnote w:type="continuationSeparator" w:id="0">
    <w:p w14:paraId="4216D994" w14:textId="77777777" w:rsidR="0070253D" w:rsidRDefault="0070253D" w:rsidP="00FB5094">
      <w:r>
        <w:continuationSeparator/>
      </w:r>
    </w:p>
    <w:p w14:paraId="01A5D6B0" w14:textId="77777777" w:rsidR="0070253D" w:rsidRDefault="0070253D" w:rsidP="00FB5094"/>
  </w:endnote>
  <w:endnote w:type="continuationNotice" w:id="1">
    <w:p w14:paraId="2BD78437" w14:textId="77777777" w:rsidR="0070253D" w:rsidRDefault="007025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Helvetica 35 Thin">
    <w:altName w:val="Arial"/>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894A" w14:textId="6090196C" w:rsidR="00467A6F" w:rsidRPr="00AC76A4" w:rsidRDefault="00467A6F" w:rsidP="005617FF">
    <w:pPr>
      <w:pStyle w:val="Footer"/>
      <w:jc w:val="right"/>
      <w:rPr>
        <w:rFonts w:cs="Arial"/>
      </w:rPr>
    </w:pPr>
    <w:r w:rsidRPr="004D6FB2">
      <w:rPr>
        <w:rFonts w:cs="Arial"/>
        <w:color w:val="002776" w:themeColor="accent1"/>
      </w:rPr>
      <w:t>Page</w:t>
    </w:r>
    <w:r w:rsidRPr="00AC76A4">
      <w:rPr>
        <w:rFonts w:cs="Arial"/>
      </w:rPr>
      <w:t xml:space="preserve"> </w:t>
    </w:r>
    <w:r w:rsidRPr="00AC76A4">
      <w:rPr>
        <w:rFonts w:cs="Arial"/>
        <w:color w:val="95B3D7"/>
      </w:rPr>
      <w:t>|</w:t>
    </w:r>
    <w:r>
      <w:rPr>
        <w:rFonts w:cs="Arial"/>
        <w:color w:val="95B3D7"/>
      </w:rPr>
      <w:t xml:space="preserve"> </w:t>
    </w:r>
    <w:r w:rsidRPr="004D6FB2">
      <w:rPr>
        <w:rFonts w:cs="Arial"/>
        <w:color w:val="002776" w:themeColor="accent1"/>
      </w:rPr>
      <w:fldChar w:fldCharType="begin"/>
    </w:r>
    <w:r w:rsidRPr="004D6FB2">
      <w:rPr>
        <w:rFonts w:cs="Arial"/>
        <w:color w:val="002776" w:themeColor="accent1"/>
      </w:rPr>
      <w:instrText xml:space="preserve"> PAGE   \* MERGEFORMAT </w:instrText>
    </w:r>
    <w:r w:rsidRPr="004D6FB2">
      <w:rPr>
        <w:rFonts w:cs="Arial"/>
        <w:color w:val="002776" w:themeColor="accent1"/>
      </w:rPr>
      <w:fldChar w:fldCharType="separate"/>
    </w:r>
    <w:r w:rsidR="008E414B">
      <w:rPr>
        <w:rFonts w:cs="Arial"/>
        <w:noProof/>
        <w:color w:val="002776" w:themeColor="accent1"/>
      </w:rPr>
      <w:t>iv</w:t>
    </w:r>
    <w:r w:rsidRPr="004D6FB2">
      <w:rPr>
        <w:rFonts w:cs="Arial"/>
        <w:noProof/>
        <w:color w:val="002776" w:themeColor="accent1"/>
      </w:rPr>
      <w:fldChar w:fldCharType="end"/>
    </w:r>
  </w:p>
  <w:p w14:paraId="18A0BA38" w14:textId="77777777" w:rsidR="00467A6F" w:rsidRDefault="0046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93DF" w14:textId="182B6663" w:rsidR="00467A6F" w:rsidRPr="00AC76A4" w:rsidRDefault="00467A6F" w:rsidP="00FB5094">
    <w:pPr>
      <w:pStyle w:val="Footer"/>
      <w:jc w:val="right"/>
      <w:rPr>
        <w:rFonts w:cs="Arial"/>
      </w:rPr>
    </w:pPr>
    <w:r w:rsidRPr="004D6FB2">
      <w:rPr>
        <w:rFonts w:cs="Arial"/>
        <w:color w:val="002776" w:themeColor="accent1"/>
      </w:rPr>
      <w:t>Page</w:t>
    </w:r>
    <w:r w:rsidRPr="00AC76A4">
      <w:rPr>
        <w:rFonts w:cs="Arial"/>
      </w:rPr>
      <w:t xml:space="preserve"> </w:t>
    </w:r>
    <w:r w:rsidRPr="00AC76A4">
      <w:rPr>
        <w:rFonts w:cs="Arial"/>
        <w:color w:val="95B3D7"/>
      </w:rPr>
      <w:t>|</w:t>
    </w:r>
    <w:r>
      <w:rPr>
        <w:rFonts w:cs="Arial"/>
        <w:color w:val="95B3D7"/>
      </w:rPr>
      <w:t xml:space="preserve"> </w:t>
    </w:r>
    <w:r w:rsidRPr="004D6FB2">
      <w:rPr>
        <w:rFonts w:cs="Arial"/>
        <w:color w:val="002776" w:themeColor="accent1"/>
      </w:rPr>
      <w:fldChar w:fldCharType="begin"/>
    </w:r>
    <w:r w:rsidRPr="004D6FB2">
      <w:rPr>
        <w:rFonts w:cs="Arial"/>
        <w:color w:val="002776" w:themeColor="accent1"/>
      </w:rPr>
      <w:instrText xml:space="preserve"> PAGE   \* MERGEFORMAT </w:instrText>
    </w:r>
    <w:r w:rsidRPr="004D6FB2">
      <w:rPr>
        <w:rFonts w:cs="Arial"/>
        <w:color w:val="002776" w:themeColor="accent1"/>
      </w:rPr>
      <w:fldChar w:fldCharType="separate"/>
    </w:r>
    <w:r w:rsidR="008E414B">
      <w:rPr>
        <w:rFonts w:cs="Arial"/>
        <w:noProof/>
        <w:color w:val="002776" w:themeColor="accent1"/>
      </w:rPr>
      <w:t>5</w:t>
    </w:r>
    <w:r w:rsidRPr="004D6FB2">
      <w:rPr>
        <w:rFonts w:cs="Arial"/>
        <w:noProof/>
        <w:color w:val="002776"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01A4" w14:textId="77777777" w:rsidR="00467A6F" w:rsidRPr="009D4EC2" w:rsidRDefault="00467A6F" w:rsidP="00FB5094">
    <w:pPr>
      <w:pStyle w:val="Footer"/>
    </w:pPr>
    <w:r>
      <w:rPr>
        <w:noProof/>
        <w:lang w:eastAsia="en-US"/>
      </w:rPr>
      <mc:AlternateContent>
        <mc:Choice Requires="wps">
          <w:drawing>
            <wp:anchor distT="0" distB="0" distL="114300" distR="114300" simplePos="0" relativeHeight="251657728" behindDoc="0" locked="0" layoutInCell="1" allowOverlap="1" wp14:anchorId="29611D0C" wp14:editId="0DA40BFC">
              <wp:simplePos x="0" y="0"/>
              <wp:positionH relativeFrom="column">
                <wp:posOffset>-1087371</wp:posOffset>
              </wp:positionH>
              <wp:positionV relativeFrom="paragraph">
                <wp:posOffset>-1955697</wp:posOffset>
              </wp:positionV>
              <wp:extent cx="7963786" cy="26003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3786" cy="2600325"/>
                      </a:xfrm>
                      <a:prstGeom prst="rect">
                        <a:avLst/>
                      </a:prstGeom>
                      <a:solidFill>
                        <a:schemeClr val="bg2">
                          <a:lumMod val="50000"/>
                        </a:schemeClr>
                      </a:solidFill>
                      <a:ln>
                        <a:noFill/>
                      </a:ln>
                      <a:extLst/>
                    </wps:spPr>
                    <wps:txbx>
                      <w:txbxContent>
                        <w:p w14:paraId="7731ACA3" w14:textId="77777777" w:rsidR="00467A6F" w:rsidRPr="003D2292" w:rsidRDefault="00467A6F" w:rsidP="00FB5094">
                          <w:pPr>
                            <w:pStyle w:val="RearCoverAddress"/>
                            <w:rPr>
                              <w:rFonts w:ascii="Arial" w:hAnsi="Arial" w:cs="Arial"/>
                              <w:sz w:val="24"/>
                            </w:rPr>
                          </w:pPr>
                          <w:r w:rsidRPr="003D2292">
                            <w:rPr>
                              <w:rFonts w:ascii="Arial" w:hAnsi="Arial" w:cs="Arial"/>
                              <w:sz w:val="24"/>
                            </w:rPr>
                            <w:t xml:space="preserve">Deloitte Financial Advisory Services LLP </w:t>
                          </w:r>
                        </w:p>
                        <w:p w14:paraId="47B8D88F" w14:textId="77777777" w:rsidR="00467A6F" w:rsidRPr="003D2292" w:rsidRDefault="00467A6F" w:rsidP="00FB5094">
                          <w:pPr>
                            <w:pStyle w:val="RearCoverAddress"/>
                            <w:rPr>
                              <w:rFonts w:ascii="Arial" w:hAnsi="Arial" w:cs="Arial"/>
                              <w:sz w:val="24"/>
                            </w:rPr>
                          </w:pPr>
                          <w:r w:rsidRPr="003D2292">
                            <w:rPr>
                              <w:rFonts w:ascii="Arial" w:hAnsi="Arial" w:cs="Arial"/>
                              <w:sz w:val="24"/>
                            </w:rPr>
                            <w:t>1919 N. Lynn Street</w:t>
                          </w:r>
                        </w:p>
                        <w:p w14:paraId="1958BCCB" w14:textId="77777777" w:rsidR="00467A6F" w:rsidRPr="003D2292" w:rsidRDefault="00467A6F" w:rsidP="00FB5094">
                          <w:pPr>
                            <w:pStyle w:val="RearCoverAddress"/>
                            <w:rPr>
                              <w:rFonts w:ascii="Arial" w:hAnsi="Arial" w:cs="Arial"/>
                              <w:sz w:val="24"/>
                            </w:rPr>
                          </w:pPr>
                          <w:r w:rsidRPr="003D2292">
                            <w:rPr>
                              <w:rFonts w:ascii="Arial" w:hAnsi="Arial" w:cs="Arial"/>
                              <w:sz w:val="24"/>
                            </w:rPr>
                            <w:t>Arlington, VA 22209</w:t>
                          </w:r>
                        </w:p>
                        <w:p w14:paraId="7C4F7F39" w14:textId="77777777" w:rsidR="00467A6F" w:rsidRPr="003D2292" w:rsidRDefault="00467A6F" w:rsidP="00FB5094">
                          <w:pPr>
                            <w:pStyle w:val="RearCoverAddress"/>
                            <w:rPr>
                              <w:rFonts w:ascii="Arial" w:hAnsi="Arial" w:cs="Arial"/>
                              <w:sz w:val="24"/>
                            </w:rPr>
                          </w:pPr>
                          <w:r w:rsidRPr="003D2292">
                            <w:rPr>
                              <w:rFonts w:ascii="Arial" w:hAnsi="Arial" w:cs="Arial"/>
                              <w:sz w:val="24"/>
                            </w:rPr>
                            <w:t>Phone: +1 571 882 5000</w:t>
                          </w:r>
                        </w:p>
                        <w:p w14:paraId="10D0B8DA" w14:textId="77777777" w:rsidR="00467A6F" w:rsidRPr="003D2292" w:rsidRDefault="00467A6F" w:rsidP="00FB5094">
                          <w:pPr>
                            <w:pStyle w:val="RearCoverAddress"/>
                            <w:rPr>
                              <w:rFonts w:ascii="Arial" w:hAnsi="Arial" w:cs="Arial"/>
                              <w:sz w:val="24"/>
                            </w:rPr>
                          </w:pPr>
                          <w:r w:rsidRPr="003D2292">
                            <w:rPr>
                              <w:rFonts w:ascii="Arial" w:hAnsi="Arial" w:cs="Arial"/>
                              <w:sz w:val="24"/>
                            </w:rPr>
                            <w:t>Fax: +1 571 882 5100</w:t>
                          </w:r>
                        </w:p>
                      </w:txbxContent>
                    </wps:txbx>
                    <wps:bodyPr rot="0" vert="horz" wrap="square" lIns="91440" tIns="6400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11D0C" id="_x0000_t202" coordsize="21600,21600" o:spt="202" path="m,l,21600r21600,l21600,xe">
              <v:stroke joinstyle="miter"/>
              <v:path gradientshapeok="t" o:connecttype="rect"/>
            </v:shapetype>
            <v:shape id="_x0000_s1029" type="#_x0000_t202" style="position:absolute;left:0;text-align:left;margin-left:-85.6pt;margin-top:-154pt;width:627.05pt;height:20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" fillcolor="#197192 [1614]" stroked="f">
              <v:textbox inset=",50.4pt,,0">
                <w:txbxContent>
                  <w:p w14:paraId="7731ACA3" w14:textId="77777777" w:rsidR="00413A0F" w:rsidRPr="003D2292" w:rsidRDefault="00413A0F" w:rsidP="00FB5094">
                    <w:pPr>
                      <w:pStyle w:val="RearCoverAddress"/>
                      <w:rPr>
                        <w:rFonts w:ascii="Arial" w:hAnsi="Arial" w:cs="Arial"/>
                        <w:sz w:val="24"/>
                      </w:rPr>
                    </w:pPr>
                    <w:r w:rsidRPr="003D2292">
                      <w:rPr>
                        <w:rFonts w:ascii="Arial" w:hAnsi="Arial" w:cs="Arial"/>
                        <w:sz w:val="24"/>
                      </w:rPr>
                      <w:t xml:space="preserve">Deloitte Financial Advisory Services LLP </w:t>
                    </w:r>
                  </w:p>
                  <w:p w14:paraId="47B8D88F" w14:textId="77777777" w:rsidR="00413A0F" w:rsidRPr="003D2292" w:rsidRDefault="00413A0F" w:rsidP="00FB5094">
                    <w:pPr>
                      <w:pStyle w:val="RearCoverAddress"/>
                      <w:rPr>
                        <w:rFonts w:ascii="Arial" w:hAnsi="Arial" w:cs="Arial"/>
                        <w:sz w:val="24"/>
                      </w:rPr>
                    </w:pPr>
                    <w:r w:rsidRPr="003D2292">
                      <w:rPr>
                        <w:rFonts w:ascii="Arial" w:hAnsi="Arial" w:cs="Arial"/>
                        <w:sz w:val="24"/>
                      </w:rPr>
                      <w:t>1919 N. Lynn Street</w:t>
                    </w:r>
                  </w:p>
                  <w:p w14:paraId="1958BCCB" w14:textId="77777777" w:rsidR="00413A0F" w:rsidRPr="003D2292" w:rsidRDefault="00413A0F" w:rsidP="00FB5094">
                    <w:pPr>
                      <w:pStyle w:val="RearCoverAddress"/>
                      <w:rPr>
                        <w:rFonts w:ascii="Arial" w:hAnsi="Arial" w:cs="Arial"/>
                        <w:sz w:val="24"/>
                      </w:rPr>
                    </w:pPr>
                    <w:r w:rsidRPr="003D2292">
                      <w:rPr>
                        <w:rFonts w:ascii="Arial" w:hAnsi="Arial" w:cs="Arial"/>
                        <w:sz w:val="24"/>
                      </w:rPr>
                      <w:t>Arlington, VA 22209</w:t>
                    </w:r>
                  </w:p>
                  <w:p w14:paraId="7C4F7F39" w14:textId="77777777" w:rsidR="00413A0F" w:rsidRPr="003D2292" w:rsidRDefault="00413A0F" w:rsidP="00FB5094">
                    <w:pPr>
                      <w:pStyle w:val="RearCoverAddress"/>
                      <w:rPr>
                        <w:rFonts w:ascii="Arial" w:hAnsi="Arial" w:cs="Arial"/>
                        <w:sz w:val="24"/>
                      </w:rPr>
                    </w:pPr>
                    <w:r w:rsidRPr="003D2292">
                      <w:rPr>
                        <w:rFonts w:ascii="Arial" w:hAnsi="Arial" w:cs="Arial"/>
                        <w:sz w:val="24"/>
                      </w:rPr>
                      <w:t>Phone: +1 571 882 5000</w:t>
                    </w:r>
                  </w:p>
                  <w:p w14:paraId="10D0B8DA" w14:textId="77777777" w:rsidR="00413A0F" w:rsidRPr="003D2292" w:rsidRDefault="00413A0F" w:rsidP="00FB5094">
                    <w:pPr>
                      <w:pStyle w:val="RearCoverAddress"/>
                      <w:rPr>
                        <w:rFonts w:ascii="Arial" w:hAnsi="Arial" w:cs="Arial"/>
                        <w:sz w:val="24"/>
                      </w:rPr>
                    </w:pPr>
                    <w:r w:rsidRPr="003D2292">
                      <w:rPr>
                        <w:rFonts w:ascii="Arial" w:hAnsi="Arial" w:cs="Arial"/>
                        <w:sz w:val="24"/>
                      </w:rPr>
                      <w:t>Fax: +1 571 882 5100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B33E3" w14:textId="77777777" w:rsidR="0070253D" w:rsidRDefault="0070253D" w:rsidP="00FB5094">
      <w:r>
        <w:separator/>
      </w:r>
    </w:p>
  </w:footnote>
  <w:footnote w:type="continuationSeparator" w:id="0">
    <w:p w14:paraId="7ABBAF71" w14:textId="77777777" w:rsidR="0070253D" w:rsidRDefault="0070253D" w:rsidP="00FB5094">
      <w:r>
        <w:continuationSeparator/>
      </w:r>
    </w:p>
    <w:p w14:paraId="0D466D0D" w14:textId="77777777" w:rsidR="0070253D" w:rsidRDefault="0070253D" w:rsidP="00FB5094"/>
  </w:footnote>
  <w:footnote w:type="continuationNotice" w:id="1">
    <w:p w14:paraId="5C02BFDA" w14:textId="77777777" w:rsidR="0070253D" w:rsidRDefault="0070253D">
      <w:pPr>
        <w:spacing w:after="0"/>
      </w:pPr>
    </w:p>
  </w:footnote>
  <w:footnote w:id="2">
    <w:p w14:paraId="18B14FBC" w14:textId="786AF456" w:rsidR="00467A6F" w:rsidRPr="001B611D" w:rsidRDefault="00467A6F" w:rsidP="007407EA">
      <w:pPr>
        <w:pStyle w:val="FootnoteText"/>
        <w:rPr>
          <w:sz w:val="18"/>
        </w:rPr>
      </w:pPr>
      <w:r w:rsidRPr="001B611D">
        <w:rPr>
          <w:rStyle w:val="FootnoteReference"/>
          <w:sz w:val="18"/>
        </w:rPr>
        <w:footnoteRef/>
      </w:r>
      <w:r w:rsidRPr="001B611D">
        <w:rPr>
          <w:sz w:val="18"/>
        </w:rPr>
        <w:t xml:space="preserve"> A shallow connection charge charges the generator and load for all direct costs associated with its connection to a transmission network, which includes the cost of any direct assets required to be installed to enable the connection. A deep connection charge, on the other hand, charges the generator and load for all costs associated with the connection, including the cost of direct assets and any new network reinforcement assets asso</w:t>
      </w:r>
      <w:r>
        <w:rPr>
          <w:sz w:val="18"/>
        </w:rPr>
        <w:t>ciated with the new connection.</w:t>
      </w:r>
      <w:r w:rsidRPr="001B611D">
        <w:rPr>
          <w:sz w:val="18"/>
        </w:rPr>
        <w:t xml:space="preserve"> A hybrid connection charge combines the two pricing principles.</w:t>
      </w:r>
    </w:p>
  </w:footnote>
  <w:footnote w:id="3">
    <w:p w14:paraId="654C9684" w14:textId="77777777" w:rsidR="00467A6F" w:rsidRDefault="00467A6F" w:rsidP="007407EA">
      <w:pPr>
        <w:pStyle w:val="FootnoteText"/>
      </w:pPr>
      <w:r w:rsidRPr="001B611D">
        <w:rPr>
          <w:rStyle w:val="FootnoteReference"/>
          <w:sz w:val="18"/>
        </w:rPr>
        <w:footnoteRef/>
      </w:r>
      <w:r w:rsidRPr="001B611D">
        <w:rPr>
          <w:sz w:val="18"/>
        </w:rPr>
        <w:t xml:space="preserve"> “Scoping towards Potential Harmonisation of Electricity Transmission Tariff Structures”, Agency for Cooperation of Energy Regulators (ACER), Cambridge Economic Policy Associates, Ltd. August 2015.</w:t>
      </w:r>
    </w:p>
  </w:footnote>
  <w:footnote w:id="4">
    <w:p w14:paraId="46374123" w14:textId="77777777" w:rsidR="00467A6F" w:rsidRDefault="00467A6F" w:rsidP="007407EA">
      <w:pPr>
        <w:pStyle w:val="FootnoteText"/>
      </w:pPr>
      <w:r w:rsidRPr="001B611D">
        <w:rPr>
          <w:rStyle w:val="FootnoteReference"/>
          <w:sz w:val="18"/>
        </w:rPr>
        <w:footnoteRef/>
      </w:r>
      <w:r w:rsidRPr="001B611D">
        <w:rPr>
          <w:sz w:val="18"/>
        </w:rPr>
        <w:t xml:space="preserve"> Adapted from RERA’s Regulatory Guidelines and transmission pricing frameworks in the EU-ENTSO-E</w:t>
      </w:r>
    </w:p>
  </w:footnote>
  <w:footnote w:id="5">
    <w:p w14:paraId="5BB482B1" w14:textId="5923A0DC" w:rsidR="00467A6F" w:rsidRDefault="00467A6F" w:rsidP="008F4FCB">
      <w:pPr>
        <w:pStyle w:val="FootnoteText"/>
      </w:pPr>
      <w:r>
        <w:rPr>
          <w:rStyle w:val="FootnoteReference"/>
        </w:rPr>
        <w:footnoteRef/>
      </w:r>
      <w:r>
        <w:t xml:space="preserve"> In the short </w:t>
      </w:r>
      <w:r w:rsidRPr="008F4FCB">
        <w:t>run</w:t>
      </w:r>
      <w:r>
        <w:t>,</w:t>
      </w:r>
      <w:r w:rsidRPr="008F4FCB">
        <w:t xml:space="preserve"> electricity is allocated to its highest-value uses (allocative efficiency); and</w:t>
      </w:r>
      <w:r>
        <w:t xml:space="preserve"> in the long </w:t>
      </w:r>
      <w:r w:rsidRPr="008F4FCB">
        <w:t>run the timing and location of new investment ensures continued allocative efficiency (dynamic efficiency)</w:t>
      </w:r>
      <w:r>
        <w:t>.</w:t>
      </w:r>
    </w:p>
  </w:footnote>
  <w:footnote w:id="6">
    <w:p w14:paraId="626DAC57" w14:textId="77777777" w:rsidR="00467A6F" w:rsidRDefault="00467A6F" w:rsidP="00B22DCB">
      <w:pPr>
        <w:pStyle w:val="FootnoteText"/>
      </w:pPr>
      <w:r w:rsidRPr="00E72FBD">
        <w:rPr>
          <w:rStyle w:val="FootnoteReference"/>
          <w:sz w:val="18"/>
        </w:rPr>
        <w:footnoteRef/>
      </w:r>
      <w:r w:rsidRPr="00E72FBD">
        <w:rPr>
          <w:sz w:val="18"/>
        </w:rPr>
        <w:t xml:space="preserve"> Congestion in the network is typically managed on a “first come first serve” basis, whereby the latest signed regional bilateral trade will be the first to be curtailed.</w:t>
      </w:r>
    </w:p>
  </w:footnote>
  <w:footnote w:id="7">
    <w:p w14:paraId="50CAA6DE" w14:textId="77777777" w:rsidR="00467A6F" w:rsidRPr="00422D6A" w:rsidRDefault="00467A6F" w:rsidP="007407EA">
      <w:pPr>
        <w:pStyle w:val="FootnoteText"/>
        <w:rPr>
          <w:sz w:val="18"/>
        </w:rPr>
      </w:pPr>
      <w:r w:rsidRPr="00422D6A">
        <w:rPr>
          <w:rStyle w:val="FootnoteReference"/>
          <w:sz w:val="18"/>
        </w:rPr>
        <w:footnoteRef/>
      </w:r>
      <w:r w:rsidRPr="00422D6A">
        <w:rPr>
          <w:sz w:val="18"/>
        </w:rPr>
        <w:t xml:space="preserve"> European transmission tariff structures, Cambridge Economic Policy Associates, March 2015</w:t>
      </w:r>
    </w:p>
  </w:footnote>
  <w:footnote w:id="8">
    <w:p w14:paraId="0970739C" w14:textId="77777777" w:rsidR="00467A6F" w:rsidRDefault="00467A6F" w:rsidP="007407EA">
      <w:pPr>
        <w:pStyle w:val="FootnoteText"/>
      </w:pPr>
      <w:r w:rsidRPr="00422D6A">
        <w:rPr>
          <w:rStyle w:val="FootnoteReference"/>
          <w:sz w:val="18"/>
        </w:rPr>
        <w:footnoteRef/>
      </w:r>
      <w:r w:rsidRPr="00422D6A">
        <w:rPr>
          <w:sz w:val="18"/>
        </w:rPr>
        <w:t xml:space="preserve"> Resolution No. 006/ERERA/15, Adoption of the Tariff Methodology for Regional Transmission Cost and Tariff, ECOWAS Regional Electricity Regulatory Authority, August 2015.</w:t>
      </w:r>
    </w:p>
  </w:footnote>
  <w:footnote w:id="9">
    <w:p w14:paraId="3A0FDCCC" w14:textId="77777777" w:rsidR="00467A6F" w:rsidRDefault="00467A6F" w:rsidP="007407EA">
      <w:pPr>
        <w:pStyle w:val="FootnoteText"/>
      </w:pPr>
      <w:r w:rsidRPr="00422D6A">
        <w:rPr>
          <w:rStyle w:val="FootnoteReference"/>
          <w:sz w:val="18"/>
        </w:rPr>
        <w:footnoteRef/>
      </w:r>
      <w:r w:rsidRPr="00422D6A">
        <w:rPr>
          <w:sz w:val="18"/>
        </w:rPr>
        <w:t xml:space="preserve"> Recommended Continental Transmission Tariff Methodology for Africa, Summary Report, EU Technical Assistance Facility (TAF) for the Sustainable Energy for All (SE4ALL) Initiative (East and Southern Africa)</w:t>
      </w:r>
    </w:p>
  </w:footnote>
  <w:footnote w:id="10">
    <w:p w14:paraId="592ED262" w14:textId="06C0ADD1" w:rsidR="00467A6F" w:rsidRDefault="00467A6F">
      <w:pPr>
        <w:pStyle w:val="FootnoteText"/>
      </w:pPr>
      <w:r>
        <w:rPr>
          <w:rStyle w:val="FootnoteReference"/>
        </w:rPr>
        <w:footnoteRef/>
      </w:r>
      <w:r>
        <w:t xml:space="preserve"> </w:t>
      </w:r>
      <w:hyperlink r:id="rId1" w:history="1">
        <w:r w:rsidRPr="00AA3339">
          <w:rPr>
            <w:rStyle w:val="Hyperlink"/>
          </w:rPr>
          <w:t>https://www.pjm.com/~/media/about-pjm/newsroom/fact-sheets/locational-marginal-pricing-fact-sheet.ashx</w:t>
        </w:r>
      </w:hyperlink>
      <w:r>
        <w:t xml:space="preserve"> (Posted by PJM on February 23, 2017)</w:t>
      </w:r>
    </w:p>
  </w:footnote>
  <w:footnote w:id="11">
    <w:p w14:paraId="1BAAC796" w14:textId="77777777" w:rsidR="00467A6F" w:rsidRDefault="00467A6F" w:rsidP="00595440">
      <w:pPr>
        <w:pStyle w:val="FootnoteText"/>
      </w:pPr>
      <w:r w:rsidRPr="00C03B67">
        <w:rPr>
          <w:rStyle w:val="FootnoteReference"/>
          <w:sz w:val="18"/>
        </w:rPr>
        <w:footnoteRef/>
      </w:r>
      <w:r w:rsidRPr="00C03B67">
        <w:rPr>
          <w:sz w:val="18"/>
        </w:rPr>
        <w:t xml:space="preserve"> AEMI – HAPUA Forum, Ricardo Presentation, Jonathan Hedgecock, Practice Director, PPA Energy May 24 – 26, 2016</w:t>
      </w:r>
    </w:p>
  </w:footnote>
  <w:footnote w:id="12">
    <w:p w14:paraId="08C63DF0" w14:textId="52CD07C7" w:rsidR="00467A6F" w:rsidRDefault="00467A6F">
      <w:pPr>
        <w:pStyle w:val="FootnoteText"/>
      </w:pPr>
      <w:r>
        <w:rPr>
          <w:rStyle w:val="FootnoteReference"/>
        </w:rPr>
        <w:footnoteRef/>
      </w:r>
      <w:r>
        <w:t xml:space="preserve"> </w:t>
      </w:r>
      <w:r w:rsidRPr="007C0A44">
        <w:t>https://www.ofgem.gov.uk/ofgem-publications/54213/projecttransmitacallforevidencetechnicalannexpdf</w:t>
      </w:r>
    </w:p>
  </w:footnote>
  <w:footnote w:id="13">
    <w:p w14:paraId="4E4223CF" w14:textId="6C3467AE" w:rsidR="00467A6F" w:rsidRDefault="00467A6F" w:rsidP="00F22A43">
      <w:pPr>
        <w:pStyle w:val="FootnoteText"/>
      </w:pPr>
      <w:r>
        <w:rPr>
          <w:rStyle w:val="FootnoteReference"/>
        </w:rPr>
        <w:footnoteRef/>
      </w:r>
      <w:r>
        <w:t xml:space="preserve"> Overview of new SAPP transmission pricing methodology. GA Chown, A Chikova, JJ Hedgecock, Power Planning Associates, E</w:t>
      </w:r>
      <w:r w:rsidRPr="00F22A43">
        <w:t>nergize - July 2010</w:t>
      </w:r>
    </w:p>
  </w:footnote>
  <w:footnote w:id="14">
    <w:p w14:paraId="01B79332" w14:textId="77777777" w:rsidR="00467A6F" w:rsidRDefault="00467A6F" w:rsidP="00595440">
      <w:pPr>
        <w:pStyle w:val="FootnoteText"/>
      </w:pPr>
      <w:r>
        <w:rPr>
          <w:rStyle w:val="FootnoteReference"/>
        </w:rPr>
        <w:footnoteRef/>
      </w:r>
      <w:r>
        <w:t xml:space="preserve"> SAPP website: </w:t>
      </w:r>
      <w:r w:rsidRPr="009B323E">
        <w:t>http://www.sapp.co.zw/market-overview-0</w:t>
      </w:r>
    </w:p>
  </w:footnote>
  <w:footnote w:id="15">
    <w:p w14:paraId="7A96A680" w14:textId="77777777" w:rsidR="00467A6F" w:rsidRDefault="00467A6F" w:rsidP="00595440">
      <w:pPr>
        <w:pStyle w:val="FootnoteText"/>
      </w:pPr>
      <w:r>
        <w:rPr>
          <w:rStyle w:val="FootnoteReference"/>
        </w:rPr>
        <w:footnoteRef/>
      </w:r>
      <w:r>
        <w:t xml:space="preserve"> Meeting growing power demands through Southern African regional integration, Johnson Maviya, Southern African Power Pool SAREE/IRENA Workshop, Windhoek, Namibia, 24 -25 April 2017</w:t>
      </w:r>
    </w:p>
  </w:footnote>
  <w:footnote w:id="16">
    <w:p w14:paraId="0C02166B" w14:textId="77777777" w:rsidR="00467A6F" w:rsidRDefault="00467A6F" w:rsidP="00595440">
      <w:pPr>
        <w:pStyle w:val="FootnoteText"/>
      </w:pPr>
      <w:r w:rsidRPr="00C03B67">
        <w:rPr>
          <w:rStyle w:val="FootnoteReference"/>
          <w:sz w:val="18"/>
        </w:rPr>
        <w:footnoteRef/>
      </w:r>
      <w:r w:rsidRPr="00C03B67">
        <w:rPr>
          <w:sz w:val="18"/>
        </w:rPr>
        <w:t xml:space="preserve"> Lack of financing and security of supplies have been identified as other major constraints to cross-border transmission interconnections.</w:t>
      </w:r>
    </w:p>
  </w:footnote>
  <w:footnote w:id="17">
    <w:p w14:paraId="39956370" w14:textId="77777777" w:rsidR="00467A6F" w:rsidRDefault="00467A6F" w:rsidP="00DB75EB">
      <w:pPr>
        <w:pStyle w:val="FootnoteText"/>
      </w:pPr>
      <w:r w:rsidRPr="00C03B67">
        <w:rPr>
          <w:rStyle w:val="FootnoteReference"/>
          <w:sz w:val="18"/>
        </w:rPr>
        <w:footnoteRef/>
      </w:r>
      <w:r w:rsidRPr="00C03B67">
        <w:rPr>
          <w:sz w:val="18"/>
        </w:rPr>
        <w:t xml:space="preserve"> http://nepadippf.org/projects/energy/zizabonapowertransmission/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A191" w14:textId="575A952D" w:rsidR="00467A6F" w:rsidRDefault="00467A6F">
    <w:pPr>
      <w:pStyle w:val="Header"/>
    </w:pPr>
    <w:r>
      <w:rPr>
        <w:noProof/>
        <w:lang w:eastAsia="en-US"/>
      </w:rPr>
      <w:drawing>
        <wp:inline distT="0" distB="0" distL="0" distR="0" wp14:anchorId="45665120" wp14:editId="01431311">
          <wp:extent cx="1760508" cy="33776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170" cy="34633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2094" w14:textId="77777777" w:rsidR="00467A6F" w:rsidRPr="005F4827" w:rsidRDefault="00467A6F" w:rsidP="00FB5094">
    <w:pPr>
      <w:pStyle w:val="Header"/>
    </w:pPr>
    <w:r>
      <w:rPr>
        <w:noProof/>
        <w:lang w:eastAsia="en-US"/>
      </w:rPr>
      <mc:AlternateContent>
        <mc:Choice Requires="wps">
          <w:drawing>
            <wp:anchor distT="0" distB="0" distL="114300" distR="114300" simplePos="0" relativeHeight="251656704" behindDoc="0" locked="0" layoutInCell="1" allowOverlap="1" wp14:anchorId="053F2FDF" wp14:editId="641C366F">
              <wp:simplePos x="0" y="0"/>
              <wp:positionH relativeFrom="column">
                <wp:posOffset>-895985</wp:posOffset>
              </wp:positionH>
              <wp:positionV relativeFrom="paragraph">
                <wp:posOffset>-457200</wp:posOffset>
              </wp:positionV>
              <wp:extent cx="7772400" cy="80835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83550"/>
                      </a:xfrm>
                      <a:prstGeom prst="rect">
                        <a:avLst/>
                      </a:prstGeom>
                      <a:solidFill>
                        <a:schemeClr val="accent1"/>
                      </a:solidFill>
                      <a:ln>
                        <a:noFill/>
                      </a:ln>
                      <a:extLst/>
                    </wps:spPr>
                    <wps:txbx>
                      <w:txbxContent>
                        <w:p w14:paraId="08FC0550" w14:textId="77777777" w:rsidR="00467A6F" w:rsidRDefault="00467A6F" w:rsidP="00FB5094"/>
                      </w:txbxContent>
                    </wps:txbx>
                    <wps:bodyPr rot="0" vert="horz" wrap="square" lIns="91440" tIns="411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F2FDF" id="_x0000_t202" coordsize="21600,21600" o:spt="202" path="m,l,21600r21600,l21600,xe">
              <v:stroke joinstyle="miter"/>
              <v:path gradientshapeok="t" o:connecttype="rect"/>
            </v:shapetype>
            <v:shape id="Text Box 1" o:spid="_x0000_s1028" type="#_x0000_t202" style="position:absolute;left:0;text-align:left;margin-left:-70.55pt;margin-top:-36pt;width:612pt;height:6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" fillcolor="#002776 [3204]" stroked="f">
              <v:textbox inset=",324pt">
                <w:txbxContent>
                  <w:p w14:paraId="08FC0550" w14:textId="77777777" w:rsidR="00413A0F" w:rsidRDefault="00413A0F" w:rsidP="00FB509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588D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8E7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E896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D8C4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D8A2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EED5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CE45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9A6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420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A6DB48"/>
    <w:lvl w:ilvl="0">
      <w:start w:val="1"/>
      <w:numFmt w:val="bullet"/>
      <w:pStyle w:val="ListBullet"/>
      <w:lvlText w:val=""/>
      <w:lvlJc w:val="left"/>
      <w:pPr>
        <w:tabs>
          <w:tab w:val="num" w:pos="5670"/>
        </w:tabs>
        <w:ind w:left="5670" w:hanging="360"/>
      </w:pPr>
      <w:rPr>
        <w:rFonts w:ascii="Symbol" w:hAnsi="Symbol" w:hint="default"/>
      </w:rPr>
    </w:lvl>
  </w:abstractNum>
  <w:abstractNum w:abstractNumId="10" w15:restartNumberingAfterBreak="0">
    <w:nsid w:val="10C455E2"/>
    <w:multiLevelType w:val="hybridMultilevel"/>
    <w:tmpl w:val="0DEA2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C458DB"/>
    <w:multiLevelType w:val="hybridMultilevel"/>
    <w:tmpl w:val="0DACF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A77AF"/>
    <w:multiLevelType w:val="hybridMultilevel"/>
    <w:tmpl w:val="9AA08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B1EAB"/>
    <w:multiLevelType w:val="hybridMultilevel"/>
    <w:tmpl w:val="647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F11C56"/>
    <w:multiLevelType w:val="hybridMultilevel"/>
    <w:tmpl w:val="A49EF41E"/>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B687C28"/>
    <w:multiLevelType w:val="hybridMultilevel"/>
    <w:tmpl w:val="C4B4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6C1E3A"/>
    <w:multiLevelType w:val="hybridMultilevel"/>
    <w:tmpl w:val="B7585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CF33E2"/>
    <w:multiLevelType w:val="hybridMultilevel"/>
    <w:tmpl w:val="5D062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0C2B03"/>
    <w:multiLevelType w:val="hybridMultilevel"/>
    <w:tmpl w:val="C276C40E"/>
    <w:lvl w:ilvl="0" w:tplc="207A39AC">
      <w:start w:val="1"/>
      <w:numFmt w:val="bullet"/>
      <w:pStyle w:val="Bullet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A62003C"/>
    <w:multiLevelType w:val="hybridMultilevel"/>
    <w:tmpl w:val="6706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C42DE0"/>
    <w:multiLevelType w:val="hybridMultilevel"/>
    <w:tmpl w:val="6EF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A7410"/>
    <w:multiLevelType w:val="multilevel"/>
    <w:tmpl w:val="BEC0828A"/>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72C2E97"/>
    <w:multiLevelType w:val="hybridMultilevel"/>
    <w:tmpl w:val="92BCD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BA6708"/>
    <w:multiLevelType w:val="hybridMultilevel"/>
    <w:tmpl w:val="CCCE7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6C02B4"/>
    <w:multiLevelType w:val="hybridMultilevel"/>
    <w:tmpl w:val="36524914"/>
    <w:lvl w:ilvl="0" w:tplc="09F8E9DA">
      <w:start w:val="1"/>
      <w:numFmt w:val="bullet"/>
      <w:pStyle w:val="Callout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45F64"/>
    <w:multiLevelType w:val="hybridMultilevel"/>
    <w:tmpl w:val="81484284"/>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823666B"/>
    <w:multiLevelType w:val="hybridMultilevel"/>
    <w:tmpl w:val="2C82E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C4702"/>
    <w:multiLevelType w:val="hybridMultilevel"/>
    <w:tmpl w:val="BEF42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EF6BFD"/>
    <w:multiLevelType w:val="hybridMultilevel"/>
    <w:tmpl w:val="3A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D6A6C"/>
    <w:multiLevelType w:val="hybridMultilevel"/>
    <w:tmpl w:val="01F2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84335C"/>
    <w:multiLevelType w:val="hybridMultilevel"/>
    <w:tmpl w:val="00146494"/>
    <w:lvl w:ilvl="0" w:tplc="04090001">
      <w:start w:val="1"/>
      <w:numFmt w:val="bullet"/>
      <w:lvlText w:val=""/>
      <w:lvlJc w:val="left"/>
      <w:pPr>
        <w:ind w:left="720" w:hanging="360"/>
      </w:pPr>
      <w:rPr>
        <w:rFonts w:ascii="Symbol" w:hAnsi="Symbol" w:hint="default"/>
      </w:rPr>
    </w:lvl>
    <w:lvl w:ilvl="1" w:tplc="04090003">
      <w:start w:val="1"/>
      <w:numFmt w:val="bullet"/>
      <w:pStyle w:val="Bullet2"/>
      <w:lvlText w:val="o"/>
      <w:lvlJc w:val="left"/>
      <w:pPr>
        <w:ind w:left="1440" w:hanging="360"/>
      </w:pPr>
      <w:rPr>
        <w:rFonts w:ascii="Calibri" w:hAnsi="Calibri" w:hint="default"/>
        <w:sz w:val="18"/>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0"/>
  </w:num>
  <w:num w:numId="4">
    <w:abstractNumId w:val="24"/>
  </w:num>
  <w:num w:numId="5">
    <w:abstractNumId w:val="21"/>
  </w:num>
  <w:num w:numId="6">
    <w:abstractNumId w:val="25"/>
  </w:num>
  <w:num w:numId="7">
    <w:abstractNumId w:val="22"/>
  </w:num>
  <w:num w:numId="8">
    <w:abstractNumId w:val="26"/>
  </w:num>
  <w:num w:numId="9">
    <w:abstractNumId w:val="14"/>
  </w:num>
  <w:num w:numId="10">
    <w:abstractNumId w:val="29"/>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21"/>
  </w:num>
  <w:num w:numId="21">
    <w:abstractNumId w:val="11"/>
  </w:num>
  <w:num w:numId="22">
    <w:abstractNumId w:val="16"/>
  </w:num>
  <w:num w:numId="23">
    <w:abstractNumId w:val="10"/>
  </w:num>
  <w:num w:numId="24">
    <w:abstractNumId w:val="15"/>
  </w:num>
  <w:num w:numId="25">
    <w:abstractNumId w:val="13"/>
  </w:num>
  <w:num w:numId="26">
    <w:abstractNumId w:val="19"/>
  </w:num>
  <w:num w:numId="27">
    <w:abstractNumId w:val="28"/>
  </w:num>
  <w:num w:numId="28">
    <w:abstractNumId w:val="23"/>
  </w:num>
  <w:num w:numId="29">
    <w:abstractNumId w:val="17"/>
  </w:num>
  <w:num w:numId="30">
    <w:abstractNumId w:val="27"/>
  </w:num>
  <w:num w:numId="31">
    <w:abstractNumId w:val="12"/>
  </w:num>
  <w:num w:numId="3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C1"/>
    <w:rsid w:val="00000837"/>
    <w:rsid w:val="00000B77"/>
    <w:rsid w:val="000015B6"/>
    <w:rsid w:val="00001B1D"/>
    <w:rsid w:val="00001F37"/>
    <w:rsid w:val="00002E3A"/>
    <w:rsid w:val="00002F30"/>
    <w:rsid w:val="00003D78"/>
    <w:rsid w:val="00007E42"/>
    <w:rsid w:val="00010D26"/>
    <w:rsid w:val="00011089"/>
    <w:rsid w:val="000114A0"/>
    <w:rsid w:val="00012452"/>
    <w:rsid w:val="00012552"/>
    <w:rsid w:val="00013182"/>
    <w:rsid w:val="0001385F"/>
    <w:rsid w:val="000144AF"/>
    <w:rsid w:val="00014F5C"/>
    <w:rsid w:val="00015196"/>
    <w:rsid w:val="0001537D"/>
    <w:rsid w:val="000163A3"/>
    <w:rsid w:val="000165F3"/>
    <w:rsid w:val="00016936"/>
    <w:rsid w:val="000172CA"/>
    <w:rsid w:val="000175C4"/>
    <w:rsid w:val="00020083"/>
    <w:rsid w:val="00020BA1"/>
    <w:rsid w:val="00020F2E"/>
    <w:rsid w:val="000212D8"/>
    <w:rsid w:val="00021B8D"/>
    <w:rsid w:val="00022272"/>
    <w:rsid w:val="000225BB"/>
    <w:rsid w:val="00022F97"/>
    <w:rsid w:val="0002305B"/>
    <w:rsid w:val="0002320F"/>
    <w:rsid w:val="00023DB9"/>
    <w:rsid w:val="00023E7E"/>
    <w:rsid w:val="00023F59"/>
    <w:rsid w:val="0002482C"/>
    <w:rsid w:val="00024F84"/>
    <w:rsid w:val="00024F8C"/>
    <w:rsid w:val="00025D34"/>
    <w:rsid w:val="00026F21"/>
    <w:rsid w:val="00027ADF"/>
    <w:rsid w:val="00027CD5"/>
    <w:rsid w:val="00027CF8"/>
    <w:rsid w:val="00027F9A"/>
    <w:rsid w:val="00031823"/>
    <w:rsid w:val="000322E0"/>
    <w:rsid w:val="0003264B"/>
    <w:rsid w:val="0003320D"/>
    <w:rsid w:val="00033525"/>
    <w:rsid w:val="00033992"/>
    <w:rsid w:val="000344E3"/>
    <w:rsid w:val="000346FD"/>
    <w:rsid w:val="00035194"/>
    <w:rsid w:val="00036549"/>
    <w:rsid w:val="00036B06"/>
    <w:rsid w:val="00037E60"/>
    <w:rsid w:val="00040479"/>
    <w:rsid w:val="000412CF"/>
    <w:rsid w:val="0004189A"/>
    <w:rsid w:val="00041C67"/>
    <w:rsid w:val="00041EC2"/>
    <w:rsid w:val="00042429"/>
    <w:rsid w:val="000424BD"/>
    <w:rsid w:val="0004255B"/>
    <w:rsid w:val="00042B13"/>
    <w:rsid w:val="00043836"/>
    <w:rsid w:val="00043E63"/>
    <w:rsid w:val="00044B88"/>
    <w:rsid w:val="0004507A"/>
    <w:rsid w:val="00045F61"/>
    <w:rsid w:val="00046892"/>
    <w:rsid w:val="00046C36"/>
    <w:rsid w:val="00046DF7"/>
    <w:rsid w:val="00046ED5"/>
    <w:rsid w:val="00047049"/>
    <w:rsid w:val="000473AD"/>
    <w:rsid w:val="00047AAF"/>
    <w:rsid w:val="0005047D"/>
    <w:rsid w:val="000517A3"/>
    <w:rsid w:val="00051F98"/>
    <w:rsid w:val="00052112"/>
    <w:rsid w:val="00052118"/>
    <w:rsid w:val="00052AD9"/>
    <w:rsid w:val="00054E60"/>
    <w:rsid w:val="00055331"/>
    <w:rsid w:val="00055992"/>
    <w:rsid w:val="000566B2"/>
    <w:rsid w:val="0005681E"/>
    <w:rsid w:val="00056CA4"/>
    <w:rsid w:val="00056DB4"/>
    <w:rsid w:val="00057766"/>
    <w:rsid w:val="000603AE"/>
    <w:rsid w:val="00061006"/>
    <w:rsid w:val="00061CC9"/>
    <w:rsid w:val="00061CEC"/>
    <w:rsid w:val="00063BA9"/>
    <w:rsid w:val="00064168"/>
    <w:rsid w:val="000646C5"/>
    <w:rsid w:val="0006471C"/>
    <w:rsid w:val="0006489A"/>
    <w:rsid w:val="00064F26"/>
    <w:rsid w:val="00065A63"/>
    <w:rsid w:val="00066A8A"/>
    <w:rsid w:val="00066B4C"/>
    <w:rsid w:val="00067918"/>
    <w:rsid w:val="00067AFA"/>
    <w:rsid w:val="00067EBA"/>
    <w:rsid w:val="00070185"/>
    <w:rsid w:val="00070BD6"/>
    <w:rsid w:val="0007166F"/>
    <w:rsid w:val="00071A8B"/>
    <w:rsid w:val="00071AD4"/>
    <w:rsid w:val="00071D66"/>
    <w:rsid w:val="000729FB"/>
    <w:rsid w:val="00072B7F"/>
    <w:rsid w:val="000735F5"/>
    <w:rsid w:val="00074A7C"/>
    <w:rsid w:val="00075595"/>
    <w:rsid w:val="00075FDE"/>
    <w:rsid w:val="00076003"/>
    <w:rsid w:val="00076EE5"/>
    <w:rsid w:val="00077EDE"/>
    <w:rsid w:val="000807EA"/>
    <w:rsid w:val="0008102D"/>
    <w:rsid w:val="00081072"/>
    <w:rsid w:val="000818AC"/>
    <w:rsid w:val="00083772"/>
    <w:rsid w:val="0008382A"/>
    <w:rsid w:val="00083930"/>
    <w:rsid w:val="0008414B"/>
    <w:rsid w:val="00084C9E"/>
    <w:rsid w:val="0008523E"/>
    <w:rsid w:val="000857EA"/>
    <w:rsid w:val="0008639B"/>
    <w:rsid w:val="000872DF"/>
    <w:rsid w:val="000878DC"/>
    <w:rsid w:val="00087C9D"/>
    <w:rsid w:val="00090401"/>
    <w:rsid w:val="00092285"/>
    <w:rsid w:val="00093BFD"/>
    <w:rsid w:val="00094064"/>
    <w:rsid w:val="0009489D"/>
    <w:rsid w:val="000949DF"/>
    <w:rsid w:val="00094DC9"/>
    <w:rsid w:val="00095796"/>
    <w:rsid w:val="00095DC1"/>
    <w:rsid w:val="0009665A"/>
    <w:rsid w:val="0009729E"/>
    <w:rsid w:val="00097458"/>
    <w:rsid w:val="0009773F"/>
    <w:rsid w:val="00097A02"/>
    <w:rsid w:val="00097A21"/>
    <w:rsid w:val="00097A40"/>
    <w:rsid w:val="000A01AA"/>
    <w:rsid w:val="000A0365"/>
    <w:rsid w:val="000A0C29"/>
    <w:rsid w:val="000A1FB2"/>
    <w:rsid w:val="000A2AC6"/>
    <w:rsid w:val="000A335B"/>
    <w:rsid w:val="000A4026"/>
    <w:rsid w:val="000A41DE"/>
    <w:rsid w:val="000A4D39"/>
    <w:rsid w:val="000A4DD2"/>
    <w:rsid w:val="000A516A"/>
    <w:rsid w:val="000A5A62"/>
    <w:rsid w:val="000A5AA6"/>
    <w:rsid w:val="000A5C19"/>
    <w:rsid w:val="000A6368"/>
    <w:rsid w:val="000A69A0"/>
    <w:rsid w:val="000A7536"/>
    <w:rsid w:val="000A75C6"/>
    <w:rsid w:val="000A7C5E"/>
    <w:rsid w:val="000B0BE3"/>
    <w:rsid w:val="000B0C03"/>
    <w:rsid w:val="000B1543"/>
    <w:rsid w:val="000B196E"/>
    <w:rsid w:val="000B2416"/>
    <w:rsid w:val="000B2EE4"/>
    <w:rsid w:val="000B32D1"/>
    <w:rsid w:val="000B33D4"/>
    <w:rsid w:val="000B371B"/>
    <w:rsid w:val="000B3D36"/>
    <w:rsid w:val="000B5893"/>
    <w:rsid w:val="000B5B5B"/>
    <w:rsid w:val="000B5C44"/>
    <w:rsid w:val="000B6BE1"/>
    <w:rsid w:val="000B7AE2"/>
    <w:rsid w:val="000C101B"/>
    <w:rsid w:val="000C101D"/>
    <w:rsid w:val="000C10A1"/>
    <w:rsid w:val="000C229A"/>
    <w:rsid w:val="000C2362"/>
    <w:rsid w:val="000C272B"/>
    <w:rsid w:val="000C2A41"/>
    <w:rsid w:val="000C3916"/>
    <w:rsid w:val="000C42BF"/>
    <w:rsid w:val="000C4420"/>
    <w:rsid w:val="000C49B9"/>
    <w:rsid w:val="000C4A63"/>
    <w:rsid w:val="000C630F"/>
    <w:rsid w:val="000C7ED4"/>
    <w:rsid w:val="000D06BB"/>
    <w:rsid w:val="000D075F"/>
    <w:rsid w:val="000D096E"/>
    <w:rsid w:val="000D0EB8"/>
    <w:rsid w:val="000D1088"/>
    <w:rsid w:val="000D1DCE"/>
    <w:rsid w:val="000D1E53"/>
    <w:rsid w:val="000D1E69"/>
    <w:rsid w:val="000D1FC3"/>
    <w:rsid w:val="000D2038"/>
    <w:rsid w:val="000D2897"/>
    <w:rsid w:val="000D2BE3"/>
    <w:rsid w:val="000D35B5"/>
    <w:rsid w:val="000D3E0C"/>
    <w:rsid w:val="000D44B3"/>
    <w:rsid w:val="000D506C"/>
    <w:rsid w:val="000D5382"/>
    <w:rsid w:val="000D6E77"/>
    <w:rsid w:val="000D7040"/>
    <w:rsid w:val="000D76D8"/>
    <w:rsid w:val="000D7BA8"/>
    <w:rsid w:val="000E22B2"/>
    <w:rsid w:val="000E3258"/>
    <w:rsid w:val="000E33EC"/>
    <w:rsid w:val="000E3793"/>
    <w:rsid w:val="000E4C02"/>
    <w:rsid w:val="000E5770"/>
    <w:rsid w:val="000E5B79"/>
    <w:rsid w:val="000E5BAD"/>
    <w:rsid w:val="000E5EBC"/>
    <w:rsid w:val="000E6145"/>
    <w:rsid w:val="000E620B"/>
    <w:rsid w:val="000E6713"/>
    <w:rsid w:val="000E7AE2"/>
    <w:rsid w:val="000F01C7"/>
    <w:rsid w:val="000F022E"/>
    <w:rsid w:val="000F03E5"/>
    <w:rsid w:val="000F09AD"/>
    <w:rsid w:val="000F1793"/>
    <w:rsid w:val="000F1B13"/>
    <w:rsid w:val="000F1CFD"/>
    <w:rsid w:val="000F1ED7"/>
    <w:rsid w:val="000F21D9"/>
    <w:rsid w:val="000F2404"/>
    <w:rsid w:val="000F2B00"/>
    <w:rsid w:val="000F2C6F"/>
    <w:rsid w:val="000F37E8"/>
    <w:rsid w:val="000F3F46"/>
    <w:rsid w:val="000F4528"/>
    <w:rsid w:val="000F45A9"/>
    <w:rsid w:val="000F4606"/>
    <w:rsid w:val="000F4819"/>
    <w:rsid w:val="000F4C0C"/>
    <w:rsid w:val="000F576F"/>
    <w:rsid w:val="000F5FBC"/>
    <w:rsid w:val="000F64AA"/>
    <w:rsid w:val="001019FB"/>
    <w:rsid w:val="00101E50"/>
    <w:rsid w:val="00101E74"/>
    <w:rsid w:val="00102C16"/>
    <w:rsid w:val="001039E5"/>
    <w:rsid w:val="00105171"/>
    <w:rsid w:val="001052A3"/>
    <w:rsid w:val="00105DDD"/>
    <w:rsid w:val="001062A7"/>
    <w:rsid w:val="001063E3"/>
    <w:rsid w:val="001064A7"/>
    <w:rsid w:val="001064BA"/>
    <w:rsid w:val="00106A26"/>
    <w:rsid w:val="00106B05"/>
    <w:rsid w:val="0010725E"/>
    <w:rsid w:val="0010740C"/>
    <w:rsid w:val="001100FA"/>
    <w:rsid w:val="00111702"/>
    <w:rsid w:val="00111A62"/>
    <w:rsid w:val="00111DE1"/>
    <w:rsid w:val="001123C6"/>
    <w:rsid w:val="00112A91"/>
    <w:rsid w:val="00113356"/>
    <w:rsid w:val="00113F86"/>
    <w:rsid w:val="0011407D"/>
    <w:rsid w:val="001147A0"/>
    <w:rsid w:val="00114B18"/>
    <w:rsid w:val="001156FC"/>
    <w:rsid w:val="00115831"/>
    <w:rsid w:val="001159B1"/>
    <w:rsid w:val="00116B72"/>
    <w:rsid w:val="00117320"/>
    <w:rsid w:val="00117728"/>
    <w:rsid w:val="0012074A"/>
    <w:rsid w:val="00121130"/>
    <w:rsid w:val="00121512"/>
    <w:rsid w:val="001231C8"/>
    <w:rsid w:val="00123744"/>
    <w:rsid w:val="00123A56"/>
    <w:rsid w:val="00124578"/>
    <w:rsid w:val="001250F3"/>
    <w:rsid w:val="00125413"/>
    <w:rsid w:val="00125999"/>
    <w:rsid w:val="00125C4B"/>
    <w:rsid w:val="00125CB3"/>
    <w:rsid w:val="00125D28"/>
    <w:rsid w:val="00126290"/>
    <w:rsid w:val="0012688A"/>
    <w:rsid w:val="00126B45"/>
    <w:rsid w:val="00130346"/>
    <w:rsid w:val="00130623"/>
    <w:rsid w:val="0013169D"/>
    <w:rsid w:val="00131F67"/>
    <w:rsid w:val="00131F69"/>
    <w:rsid w:val="00132EA3"/>
    <w:rsid w:val="0013305D"/>
    <w:rsid w:val="00133DB1"/>
    <w:rsid w:val="00134024"/>
    <w:rsid w:val="001340C3"/>
    <w:rsid w:val="00134C86"/>
    <w:rsid w:val="0013550F"/>
    <w:rsid w:val="00135640"/>
    <w:rsid w:val="001359EF"/>
    <w:rsid w:val="00135E22"/>
    <w:rsid w:val="001375FC"/>
    <w:rsid w:val="00137AB0"/>
    <w:rsid w:val="00137DBD"/>
    <w:rsid w:val="00140664"/>
    <w:rsid w:val="00140670"/>
    <w:rsid w:val="0014075E"/>
    <w:rsid w:val="00140F37"/>
    <w:rsid w:val="0014111D"/>
    <w:rsid w:val="00142241"/>
    <w:rsid w:val="00142EB5"/>
    <w:rsid w:val="00143A2C"/>
    <w:rsid w:val="001440A8"/>
    <w:rsid w:val="0014439B"/>
    <w:rsid w:val="00145051"/>
    <w:rsid w:val="00145824"/>
    <w:rsid w:val="00145A60"/>
    <w:rsid w:val="00146FC9"/>
    <w:rsid w:val="00147789"/>
    <w:rsid w:val="001478A5"/>
    <w:rsid w:val="00147A18"/>
    <w:rsid w:val="001507C9"/>
    <w:rsid w:val="0015120C"/>
    <w:rsid w:val="00151FF1"/>
    <w:rsid w:val="00152390"/>
    <w:rsid w:val="001529F3"/>
    <w:rsid w:val="00152F6F"/>
    <w:rsid w:val="001535CC"/>
    <w:rsid w:val="001537E7"/>
    <w:rsid w:val="00153A90"/>
    <w:rsid w:val="00153CB4"/>
    <w:rsid w:val="00154D9B"/>
    <w:rsid w:val="00154F80"/>
    <w:rsid w:val="001550E5"/>
    <w:rsid w:val="00155162"/>
    <w:rsid w:val="00155639"/>
    <w:rsid w:val="00155784"/>
    <w:rsid w:val="00155EAE"/>
    <w:rsid w:val="001562B4"/>
    <w:rsid w:val="00156981"/>
    <w:rsid w:val="00156B23"/>
    <w:rsid w:val="001575CF"/>
    <w:rsid w:val="00160DB0"/>
    <w:rsid w:val="00161A61"/>
    <w:rsid w:val="00161B0D"/>
    <w:rsid w:val="001638BF"/>
    <w:rsid w:val="001638EF"/>
    <w:rsid w:val="00163D48"/>
    <w:rsid w:val="00164D29"/>
    <w:rsid w:val="00164F92"/>
    <w:rsid w:val="001650AF"/>
    <w:rsid w:val="00165385"/>
    <w:rsid w:val="00167853"/>
    <w:rsid w:val="00167CEA"/>
    <w:rsid w:val="00167E6F"/>
    <w:rsid w:val="00167EDE"/>
    <w:rsid w:val="0017073A"/>
    <w:rsid w:val="00170DBB"/>
    <w:rsid w:val="00173710"/>
    <w:rsid w:val="00173F69"/>
    <w:rsid w:val="00174273"/>
    <w:rsid w:val="001745CD"/>
    <w:rsid w:val="00174B3D"/>
    <w:rsid w:val="001756CC"/>
    <w:rsid w:val="001763B6"/>
    <w:rsid w:val="00176FD1"/>
    <w:rsid w:val="0017753A"/>
    <w:rsid w:val="0018035B"/>
    <w:rsid w:val="001817C2"/>
    <w:rsid w:val="00181BE0"/>
    <w:rsid w:val="00182316"/>
    <w:rsid w:val="00182317"/>
    <w:rsid w:val="001828B7"/>
    <w:rsid w:val="00182B41"/>
    <w:rsid w:val="00182BDD"/>
    <w:rsid w:val="00182CC0"/>
    <w:rsid w:val="00184D53"/>
    <w:rsid w:val="00184FCC"/>
    <w:rsid w:val="001851EB"/>
    <w:rsid w:val="001857FB"/>
    <w:rsid w:val="00185FE9"/>
    <w:rsid w:val="00186128"/>
    <w:rsid w:val="001868E9"/>
    <w:rsid w:val="00186B7E"/>
    <w:rsid w:val="00187CD4"/>
    <w:rsid w:val="0019092D"/>
    <w:rsid w:val="001909FE"/>
    <w:rsid w:val="00191832"/>
    <w:rsid w:val="0019183A"/>
    <w:rsid w:val="00193145"/>
    <w:rsid w:val="001937D8"/>
    <w:rsid w:val="00193C78"/>
    <w:rsid w:val="00195722"/>
    <w:rsid w:val="00195EE7"/>
    <w:rsid w:val="00196625"/>
    <w:rsid w:val="00196A02"/>
    <w:rsid w:val="0019774A"/>
    <w:rsid w:val="00197807"/>
    <w:rsid w:val="00197870"/>
    <w:rsid w:val="001979D8"/>
    <w:rsid w:val="001A0ADB"/>
    <w:rsid w:val="001A0D6E"/>
    <w:rsid w:val="001A10BE"/>
    <w:rsid w:val="001A2754"/>
    <w:rsid w:val="001A2FC5"/>
    <w:rsid w:val="001A3CE8"/>
    <w:rsid w:val="001A4A87"/>
    <w:rsid w:val="001A6350"/>
    <w:rsid w:val="001A7071"/>
    <w:rsid w:val="001B0C1B"/>
    <w:rsid w:val="001B0EA4"/>
    <w:rsid w:val="001B32F9"/>
    <w:rsid w:val="001B34A6"/>
    <w:rsid w:val="001B440B"/>
    <w:rsid w:val="001B440F"/>
    <w:rsid w:val="001B4484"/>
    <w:rsid w:val="001B463F"/>
    <w:rsid w:val="001B469F"/>
    <w:rsid w:val="001B51EE"/>
    <w:rsid w:val="001B53D8"/>
    <w:rsid w:val="001B540C"/>
    <w:rsid w:val="001B5CB9"/>
    <w:rsid w:val="001B5FE4"/>
    <w:rsid w:val="001B611D"/>
    <w:rsid w:val="001B6AF6"/>
    <w:rsid w:val="001B6CAD"/>
    <w:rsid w:val="001B7A1D"/>
    <w:rsid w:val="001C016A"/>
    <w:rsid w:val="001C0B9B"/>
    <w:rsid w:val="001C13B1"/>
    <w:rsid w:val="001C17C7"/>
    <w:rsid w:val="001C1816"/>
    <w:rsid w:val="001C1B3D"/>
    <w:rsid w:val="001C1BEA"/>
    <w:rsid w:val="001C2451"/>
    <w:rsid w:val="001C4AB4"/>
    <w:rsid w:val="001C4ADF"/>
    <w:rsid w:val="001C52C3"/>
    <w:rsid w:val="001C56C5"/>
    <w:rsid w:val="001C5B58"/>
    <w:rsid w:val="001C7702"/>
    <w:rsid w:val="001D052F"/>
    <w:rsid w:val="001D0584"/>
    <w:rsid w:val="001D0654"/>
    <w:rsid w:val="001D1399"/>
    <w:rsid w:val="001D142B"/>
    <w:rsid w:val="001D14D2"/>
    <w:rsid w:val="001D14EC"/>
    <w:rsid w:val="001D1906"/>
    <w:rsid w:val="001D1F4A"/>
    <w:rsid w:val="001D23BA"/>
    <w:rsid w:val="001D2492"/>
    <w:rsid w:val="001D2B4A"/>
    <w:rsid w:val="001D2B55"/>
    <w:rsid w:val="001D330E"/>
    <w:rsid w:val="001D340C"/>
    <w:rsid w:val="001D37D0"/>
    <w:rsid w:val="001D3D1B"/>
    <w:rsid w:val="001D4A6D"/>
    <w:rsid w:val="001D4E35"/>
    <w:rsid w:val="001D5371"/>
    <w:rsid w:val="001D5447"/>
    <w:rsid w:val="001D5528"/>
    <w:rsid w:val="001D5C0C"/>
    <w:rsid w:val="001D5FAF"/>
    <w:rsid w:val="001D5FFF"/>
    <w:rsid w:val="001D6A12"/>
    <w:rsid w:val="001D6AA0"/>
    <w:rsid w:val="001D7A85"/>
    <w:rsid w:val="001E0F98"/>
    <w:rsid w:val="001E210B"/>
    <w:rsid w:val="001E2561"/>
    <w:rsid w:val="001E27AD"/>
    <w:rsid w:val="001E2F41"/>
    <w:rsid w:val="001E4239"/>
    <w:rsid w:val="001E56E8"/>
    <w:rsid w:val="001E6720"/>
    <w:rsid w:val="001E7605"/>
    <w:rsid w:val="001E7A43"/>
    <w:rsid w:val="001F0E6D"/>
    <w:rsid w:val="001F10C3"/>
    <w:rsid w:val="001F1473"/>
    <w:rsid w:val="001F2E1F"/>
    <w:rsid w:val="001F2FED"/>
    <w:rsid w:val="001F31A9"/>
    <w:rsid w:val="001F31F8"/>
    <w:rsid w:val="001F36D6"/>
    <w:rsid w:val="001F3BFF"/>
    <w:rsid w:val="001F4F39"/>
    <w:rsid w:val="001F5522"/>
    <w:rsid w:val="001F5B08"/>
    <w:rsid w:val="001F7134"/>
    <w:rsid w:val="001F72FC"/>
    <w:rsid w:val="001F7D2C"/>
    <w:rsid w:val="001F7D3E"/>
    <w:rsid w:val="001F7FF2"/>
    <w:rsid w:val="002001EE"/>
    <w:rsid w:val="00200E94"/>
    <w:rsid w:val="002011BD"/>
    <w:rsid w:val="0020207D"/>
    <w:rsid w:val="002024E7"/>
    <w:rsid w:val="00202A3E"/>
    <w:rsid w:val="00202C42"/>
    <w:rsid w:val="002032C2"/>
    <w:rsid w:val="00203D6F"/>
    <w:rsid w:val="00203DEE"/>
    <w:rsid w:val="00203EE0"/>
    <w:rsid w:val="00203F07"/>
    <w:rsid w:val="00203FBE"/>
    <w:rsid w:val="0020488B"/>
    <w:rsid w:val="0020491A"/>
    <w:rsid w:val="00204A49"/>
    <w:rsid w:val="002055F4"/>
    <w:rsid w:val="002061CF"/>
    <w:rsid w:val="002067EC"/>
    <w:rsid w:val="00206879"/>
    <w:rsid w:val="00206BCB"/>
    <w:rsid w:val="00206CF1"/>
    <w:rsid w:val="00206E74"/>
    <w:rsid w:val="002075C4"/>
    <w:rsid w:val="00207A8D"/>
    <w:rsid w:val="00210253"/>
    <w:rsid w:val="00210718"/>
    <w:rsid w:val="002108BA"/>
    <w:rsid w:val="00210AE1"/>
    <w:rsid w:val="00211D82"/>
    <w:rsid w:val="002131F4"/>
    <w:rsid w:val="00213EE7"/>
    <w:rsid w:val="0021541D"/>
    <w:rsid w:val="002154BC"/>
    <w:rsid w:val="00215C30"/>
    <w:rsid w:val="00215CCB"/>
    <w:rsid w:val="00215E54"/>
    <w:rsid w:val="00215F33"/>
    <w:rsid w:val="00216942"/>
    <w:rsid w:val="002178A1"/>
    <w:rsid w:val="00217CDB"/>
    <w:rsid w:val="002200FA"/>
    <w:rsid w:val="00220A9D"/>
    <w:rsid w:val="002211F6"/>
    <w:rsid w:val="00221272"/>
    <w:rsid w:val="00221A63"/>
    <w:rsid w:val="0022202A"/>
    <w:rsid w:val="00222524"/>
    <w:rsid w:val="00222A5C"/>
    <w:rsid w:val="00222D37"/>
    <w:rsid w:val="00223380"/>
    <w:rsid w:val="00223395"/>
    <w:rsid w:val="00223DB4"/>
    <w:rsid w:val="00224157"/>
    <w:rsid w:val="00224AB3"/>
    <w:rsid w:val="0022504E"/>
    <w:rsid w:val="00226A5D"/>
    <w:rsid w:val="00226C9E"/>
    <w:rsid w:val="00227611"/>
    <w:rsid w:val="00227984"/>
    <w:rsid w:val="00227ADD"/>
    <w:rsid w:val="00230878"/>
    <w:rsid w:val="00230DBB"/>
    <w:rsid w:val="002315D4"/>
    <w:rsid w:val="002322F5"/>
    <w:rsid w:val="002342F6"/>
    <w:rsid w:val="002349B2"/>
    <w:rsid w:val="00236081"/>
    <w:rsid w:val="002366B7"/>
    <w:rsid w:val="00237351"/>
    <w:rsid w:val="002377A5"/>
    <w:rsid w:val="00240965"/>
    <w:rsid w:val="00240C9B"/>
    <w:rsid w:val="00241601"/>
    <w:rsid w:val="00241797"/>
    <w:rsid w:val="00241B87"/>
    <w:rsid w:val="00241E29"/>
    <w:rsid w:val="002429AC"/>
    <w:rsid w:val="00242D7A"/>
    <w:rsid w:val="00242F4B"/>
    <w:rsid w:val="00244BED"/>
    <w:rsid w:val="00244E27"/>
    <w:rsid w:val="0024547F"/>
    <w:rsid w:val="002456AE"/>
    <w:rsid w:val="00245AD8"/>
    <w:rsid w:val="00246305"/>
    <w:rsid w:val="00247255"/>
    <w:rsid w:val="00247D9F"/>
    <w:rsid w:val="00250775"/>
    <w:rsid w:val="00250B04"/>
    <w:rsid w:val="002528D7"/>
    <w:rsid w:val="00252B39"/>
    <w:rsid w:val="00252C15"/>
    <w:rsid w:val="00252F4F"/>
    <w:rsid w:val="002534C8"/>
    <w:rsid w:val="002541F7"/>
    <w:rsid w:val="00254ACC"/>
    <w:rsid w:val="002556B8"/>
    <w:rsid w:val="00257867"/>
    <w:rsid w:val="00257B27"/>
    <w:rsid w:val="00260C86"/>
    <w:rsid w:val="0026102B"/>
    <w:rsid w:val="002614D1"/>
    <w:rsid w:val="00263350"/>
    <w:rsid w:val="002639B4"/>
    <w:rsid w:val="00263A6B"/>
    <w:rsid w:val="00264DAE"/>
    <w:rsid w:val="0026571B"/>
    <w:rsid w:val="00265BB9"/>
    <w:rsid w:val="00266AA8"/>
    <w:rsid w:val="00267259"/>
    <w:rsid w:val="00270588"/>
    <w:rsid w:val="00270A2B"/>
    <w:rsid w:val="00270D98"/>
    <w:rsid w:val="002713EE"/>
    <w:rsid w:val="00271A02"/>
    <w:rsid w:val="002734B5"/>
    <w:rsid w:val="002739F0"/>
    <w:rsid w:val="00273A32"/>
    <w:rsid w:val="0027437C"/>
    <w:rsid w:val="0027445E"/>
    <w:rsid w:val="00275F15"/>
    <w:rsid w:val="002760F1"/>
    <w:rsid w:val="0027637E"/>
    <w:rsid w:val="00276818"/>
    <w:rsid w:val="00280522"/>
    <w:rsid w:val="00280BA7"/>
    <w:rsid w:val="00280C6B"/>
    <w:rsid w:val="00282BEB"/>
    <w:rsid w:val="00283089"/>
    <w:rsid w:val="002832EF"/>
    <w:rsid w:val="002833D9"/>
    <w:rsid w:val="002840A6"/>
    <w:rsid w:val="0028460E"/>
    <w:rsid w:val="00284637"/>
    <w:rsid w:val="002853CA"/>
    <w:rsid w:val="00285A6B"/>
    <w:rsid w:val="00285C58"/>
    <w:rsid w:val="00285FE3"/>
    <w:rsid w:val="00286B9D"/>
    <w:rsid w:val="00287331"/>
    <w:rsid w:val="002879A7"/>
    <w:rsid w:val="00287ABB"/>
    <w:rsid w:val="00287C35"/>
    <w:rsid w:val="0029006F"/>
    <w:rsid w:val="00290696"/>
    <w:rsid w:val="00291AA1"/>
    <w:rsid w:val="00292009"/>
    <w:rsid w:val="00294000"/>
    <w:rsid w:val="002949B4"/>
    <w:rsid w:val="00295594"/>
    <w:rsid w:val="00295AC9"/>
    <w:rsid w:val="00295B84"/>
    <w:rsid w:val="00295C35"/>
    <w:rsid w:val="00295CF2"/>
    <w:rsid w:val="00295E08"/>
    <w:rsid w:val="0029625F"/>
    <w:rsid w:val="0029648B"/>
    <w:rsid w:val="00296614"/>
    <w:rsid w:val="00296E79"/>
    <w:rsid w:val="00297312"/>
    <w:rsid w:val="002A11CC"/>
    <w:rsid w:val="002A2205"/>
    <w:rsid w:val="002A22A5"/>
    <w:rsid w:val="002A2934"/>
    <w:rsid w:val="002A322B"/>
    <w:rsid w:val="002A3758"/>
    <w:rsid w:val="002A37F9"/>
    <w:rsid w:val="002A4863"/>
    <w:rsid w:val="002A590D"/>
    <w:rsid w:val="002A5E91"/>
    <w:rsid w:val="002A6146"/>
    <w:rsid w:val="002A6232"/>
    <w:rsid w:val="002A6382"/>
    <w:rsid w:val="002A66DD"/>
    <w:rsid w:val="002A6EE6"/>
    <w:rsid w:val="002A74E7"/>
    <w:rsid w:val="002A7569"/>
    <w:rsid w:val="002A7A76"/>
    <w:rsid w:val="002A7BB4"/>
    <w:rsid w:val="002B00BA"/>
    <w:rsid w:val="002B149F"/>
    <w:rsid w:val="002B17EE"/>
    <w:rsid w:val="002B2F9F"/>
    <w:rsid w:val="002B3475"/>
    <w:rsid w:val="002B3A40"/>
    <w:rsid w:val="002B4682"/>
    <w:rsid w:val="002B4AB7"/>
    <w:rsid w:val="002B5909"/>
    <w:rsid w:val="002B6956"/>
    <w:rsid w:val="002B7E1B"/>
    <w:rsid w:val="002B7EF5"/>
    <w:rsid w:val="002C0DBA"/>
    <w:rsid w:val="002C25ED"/>
    <w:rsid w:val="002C34A0"/>
    <w:rsid w:val="002C3E00"/>
    <w:rsid w:val="002C454F"/>
    <w:rsid w:val="002C4E91"/>
    <w:rsid w:val="002C4EBC"/>
    <w:rsid w:val="002C4FF9"/>
    <w:rsid w:val="002C54E3"/>
    <w:rsid w:val="002C58EB"/>
    <w:rsid w:val="002C681E"/>
    <w:rsid w:val="002C68D9"/>
    <w:rsid w:val="002C6D5E"/>
    <w:rsid w:val="002C70D1"/>
    <w:rsid w:val="002C71DD"/>
    <w:rsid w:val="002C7915"/>
    <w:rsid w:val="002C7EDA"/>
    <w:rsid w:val="002D02B0"/>
    <w:rsid w:val="002D05C9"/>
    <w:rsid w:val="002D0A0B"/>
    <w:rsid w:val="002D0A73"/>
    <w:rsid w:val="002D0B2F"/>
    <w:rsid w:val="002D0E8C"/>
    <w:rsid w:val="002D102E"/>
    <w:rsid w:val="002D11D9"/>
    <w:rsid w:val="002D1F2C"/>
    <w:rsid w:val="002D2641"/>
    <w:rsid w:val="002D2B0D"/>
    <w:rsid w:val="002D2D20"/>
    <w:rsid w:val="002D3850"/>
    <w:rsid w:val="002D4237"/>
    <w:rsid w:val="002D6405"/>
    <w:rsid w:val="002D700B"/>
    <w:rsid w:val="002D70FD"/>
    <w:rsid w:val="002D71BB"/>
    <w:rsid w:val="002D75A2"/>
    <w:rsid w:val="002E1002"/>
    <w:rsid w:val="002E12C9"/>
    <w:rsid w:val="002E158F"/>
    <w:rsid w:val="002E1B57"/>
    <w:rsid w:val="002E1C2F"/>
    <w:rsid w:val="002E1D6A"/>
    <w:rsid w:val="002E2C5B"/>
    <w:rsid w:val="002E35B7"/>
    <w:rsid w:val="002E36C3"/>
    <w:rsid w:val="002E3E58"/>
    <w:rsid w:val="002E5AAD"/>
    <w:rsid w:val="002E609A"/>
    <w:rsid w:val="002E6D4B"/>
    <w:rsid w:val="002E70F2"/>
    <w:rsid w:val="002F1188"/>
    <w:rsid w:val="002F15DD"/>
    <w:rsid w:val="002F1935"/>
    <w:rsid w:val="002F1B66"/>
    <w:rsid w:val="002F2AFB"/>
    <w:rsid w:val="002F36D0"/>
    <w:rsid w:val="002F54D3"/>
    <w:rsid w:val="002F772E"/>
    <w:rsid w:val="002F7FC5"/>
    <w:rsid w:val="003000CC"/>
    <w:rsid w:val="00301AB1"/>
    <w:rsid w:val="00301FA6"/>
    <w:rsid w:val="00302220"/>
    <w:rsid w:val="0030286F"/>
    <w:rsid w:val="00303395"/>
    <w:rsid w:val="003036AF"/>
    <w:rsid w:val="0030380A"/>
    <w:rsid w:val="00303E7C"/>
    <w:rsid w:val="003045BF"/>
    <w:rsid w:val="00304667"/>
    <w:rsid w:val="00304897"/>
    <w:rsid w:val="00304C6C"/>
    <w:rsid w:val="003059F0"/>
    <w:rsid w:val="00305C0B"/>
    <w:rsid w:val="00305FFF"/>
    <w:rsid w:val="0030633F"/>
    <w:rsid w:val="00306A53"/>
    <w:rsid w:val="003079FB"/>
    <w:rsid w:val="00307AF1"/>
    <w:rsid w:val="003100BC"/>
    <w:rsid w:val="00310F5C"/>
    <w:rsid w:val="0031147E"/>
    <w:rsid w:val="003139EB"/>
    <w:rsid w:val="00313DA1"/>
    <w:rsid w:val="00314CAB"/>
    <w:rsid w:val="003152F4"/>
    <w:rsid w:val="0031555F"/>
    <w:rsid w:val="003159DC"/>
    <w:rsid w:val="00315E55"/>
    <w:rsid w:val="00316E31"/>
    <w:rsid w:val="00316EA9"/>
    <w:rsid w:val="00317143"/>
    <w:rsid w:val="00317A5B"/>
    <w:rsid w:val="00317C6D"/>
    <w:rsid w:val="00317F37"/>
    <w:rsid w:val="003204A1"/>
    <w:rsid w:val="00321959"/>
    <w:rsid w:val="003219DE"/>
    <w:rsid w:val="0032206A"/>
    <w:rsid w:val="0032248E"/>
    <w:rsid w:val="00322AE2"/>
    <w:rsid w:val="00323437"/>
    <w:rsid w:val="00324847"/>
    <w:rsid w:val="0032538D"/>
    <w:rsid w:val="003255C3"/>
    <w:rsid w:val="00326092"/>
    <w:rsid w:val="00326642"/>
    <w:rsid w:val="003266C6"/>
    <w:rsid w:val="00327267"/>
    <w:rsid w:val="003276AF"/>
    <w:rsid w:val="0033010D"/>
    <w:rsid w:val="003304AF"/>
    <w:rsid w:val="00330C5E"/>
    <w:rsid w:val="003313EF"/>
    <w:rsid w:val="00331578"/>
    <w:rsid w:val="003317B4"/>
    <w:rsid w:val="00333794"/>
    <w:rsid w:val="00333BC2"/>
    <w:rsid w:val="00334563"/>
    <w:rsid w:val="00334C37"/>
    <w:rsid w:val="00335078"/>
    <w:rsid w:val="003358F8"/>
    <w:rsid w:val="00335DA4"/>
    <w:rsid w:val="0033745A"/>
    <w:rsid w:val="00337A16"/>
    <w:rsid w:val="00337FAC"/>
    <w:rsid w:val="003410DF"/>
    <w:rsid w:val="00341770"/>
    <w:rsid w:val="00341ADF"/>
    <w:rsid w:val="00342349"/>
    <w:rsid w:val="0034247F"/>
    <w:rsid w:val="003430A0"/>
    <w:rsid w:val="003449BE"/>
    <w:rsid w:val="00345546"/>
    <w:rsid w:val="00345C9E"/>
    <w:rsid w:val="00345FCB"/>
    <w:rsid w:val="003468A9"/>
    <w:rsid w:val="00347961"/>
    <w:rsid w:val="00350ADD"/>
    <w:rsid w:val="00350CCF"/>
    <w:rsid w:val="003515A6"/>
    <w:rsid w:val="0035164D"/>
    <w:rsid w:val="00351BD6"/>
    <w:rsid w:val="003523C0"/>
    <w:rsid w:val="00352B67"/>
    <w:rsid w:val="00352F70"/>
    <w:rsid w:val="00353948"/>
    <w:rsid w:val="003539A8"/>
    <w:rsid w:val="00354172"/>
    <w:rsid w:val="003541D4"/>
    <w:rsid w:val="0035435E"/>
    <w:rsid w:val="00354892"/>
    <w:rsid w:val="00354D85"/>
    <w:rsid w:val="003552EF"/>
    <w:rsid w:val="003553D5"/>
    <w:rsid w:val="003557E0"/>
    <w:rsid w:val="0035590B"/>
    <w:rsid w:val="003568D8"/>
    <w:rsid w:val="00357318"/>
    <w:rsid w:val="0035741A"/>
    <w:rsid w:val="00357E06"/>
    <w:rsid w:val="0036096B"/>
    <w:rsid w:val="00360A3C"/>
    <w:rsid w:val="00361315"/>
    <w:rsid w:val="00361701"/>
    <w:rsid w:val="00361B7F"/>
    <w:rsid w:val="00361E28"/>
    <w:rsid w:val="00361F4B"/>
    <w:rsid w:val="00362B6E"/>
    <w:rsid w:val="00364CF2"/>
    <w:rsid w:val="00364F06"/>
    <w:rsid w:val="00365436"/>
    <w:rsid w:val="00366552"/>
    <w:rsid w:val="003666DF"/>
    <w:rsid w:val="00366F17"/>
    <w:rsid w:val="00367531"/>
    <w:rsid w:val="00367845"/>
    <w:rsid w:val="00367CA1"/>
    <w:rsid w:val="00367E81"/>
    <w:rsid w:val="00371FA1"/>
    <w:rsid w:val="00372189"/>
    <w:rsid w:val="003725C9"/>
    <w:rsid w:val="0037272B"/>
    <w:rsid w:val="0037277E"/>
    <w:rsid w:val="003728FF"/>
    <w:rsid w:val="0037388B"/>
    <w:rsid w:val="00374052"/>
    <w:rsid w:val="00374115"/>
    <w:rsid w:val="003742B6"/>
    <w:rsid w:val="00375540"/>
    <w:rsid w:val="0037560D"/>
    <w:rsid w:val="00376291"/>
    <w:rsid w:val="00376FFB"/>
    <w:rsid w:val="00380472"/>
    <w:rsid w:val="00380FA6"/>
    <w:rsid w:val="003813B9"/>
    <w:rsid w:val="003817BD"/>
    <w:rsid w:val="00381DC6"/>
    <w:rsid w:val="00382155"/>
    <w:rsid w:val="003821B4"/>
    <w:rsid w:val="003829CB"/>
    <w:rsid w:val="0038310A"/>
    <w:rsid w:val="003831A1"/>
    <w:rsid w:val="00385031"/>
    <w:rsid w:val="003856A1"/>
    <w:rsid w:val="00385B39"/>
    <w:rsid w:val="003865C9"/>
    <w:rsid w:val="0038675D"/>
    <w:rsid w:val="00386937"/>
    <w:rsid w:val="0038717B"/>
    <w:rsid w:val="0038741A"/>
    <w:rsid w:val="0038787D"/>
    <w:rsid w:val="00390640"/>
    <w:rsid w:val="00390683"/>
    <w:rsid w:val="00390B6D"/>
    <w:rsid w:val="00391560"/>
    <w:rsid w:val="00392115"/>
    <w:rsid w:val="00393163"/>
    <w:rsid w:val="0039338A"/>
    <w:rsid w:val="003933DD"/>
    <w:rsid w:val="003934A6"/>
    <w:rsid w:val="00394F3C"/>
    <w:rsid w:val="00395A01"/>
    <w:rsid w:val="00397F2F"/>
    <w:rsid w:val="003A031D"/>
    <w:rsid w:val="003A06DC"/>
    <w:rsid w:val="003A1C09"/>
    <w:rsid w:val="003A2D1A"/>
    <w:rsid w:val="003A3023"/>
    <w:rsid w:val="003A3126"/>
    <w:rsid w:val="003A4116"/>
    <w:rsid w:val="003A579E"/>
    <w:rsid w:val="003A63FE"/>
    <w:rsid w:val="003A67A8"/>
    <w:rsid w:val="003A6BE4"/>
    <w:rsid w:val="003A6DEE"/>
    <w:rsid w:val="003A7191"/>
    <w:rsid w:val="003A77A8"/>
    <w:rsid w:val="003A7B09"/>
    <w:rsid w:val="003B0F59"/>
    <w:rsid w:val="003B144D"/>
    <w:rsid w:val="003B2047"/>
    <w:rsid w:val="003B2A1E"/>
    <w:rsid w:val="003B2C96"/>
    <w:rsid w:val="003B42EE"/>
    <w:rsid w:val="003B6080"/>
    <w:rsid w:val="003B6C27"/>
    <w:rsid w:val="003B7F33"/>
    <w:rsid w:val="003C17B3"/>
    <w:rsid w:val="003C26E1"/>
    <w:rsid w:val="003C2973"/>
    <w:rsid w:val="003C2BD8"/>
    <w:rsid w:val="003C3FBC"/>
    <w:rsid w:val="003C43CC"/>
    <w:rsid w:val="003C4A02"/>
    <w:rsid w:val="003C505C"/>
    <w:rsid w:val="003C54FE"/>
    <w:rsid w:val="003C574E"/>
    <w:rsid w:val="003C5902"/>
    <w:rsid w:val="003C628F"/>
    <w:rsid w:val="003C6349"/>
    <w:rsid w:val="003C6D39"/>
    <w:rsid w:val="003C6FEB"/>
    <w:rsid w:val="003D017A"/>
    <w:rsid w:val="003D0288"/>
    <w:rsid w:val="003D14EE"/>
    <w:rsid w:val="003D2292"/>
    <w:rsid w:val="003D2A70"/>
    <w:rsid w:val="003D35EA"/>
    <w:rsid w:val="003D3B1D"/>
    <w:rsid w:val="003D3D36"/>
    <w:rsid w:val="003D5431"/>
    <w:rsid w:val="003D66D4"/>
    <w:rsid w:val="003D74DC"/>
    <w:rsid w:val="003D75A7"/>
    <w:rsid w:val="003D7B40"/>
    <w:rsid w:val="003D7F5E"/>
    <w:rsid w:val="003E09E0"/>
    <w:rsid w:val="003E2B81"/>
    <w:rsid w:val="003E31C6"/>
    <w:rsid w:val="003E3C9B"/>
    <w:rsid w:val="003E46B1"/>
    <w:rsid w:val="003E51BA"/>
    <w:rsid w:val="003E5877"/>
    <w:rsid w:val="003E693D"/>
    <w:rsid w:val="003F07BD"/>
    <w:rsid w:val="003F0EFB"/>
    <w:rsid w:val="003F1028"/>
    <w:rsid w:val="003F11B4"/>
    <w:rsid w:val="003F1304"/>
    <w:rsid w:val="003F1CAC"/>
    <w:rsid w:val="003F29CD"/>
    <w:rsid w:val="003F2ADE"/>
    <w:rsid w:val="003F2D87"/>
    <w:rsid w:val="003F3284"/>
    <w:rsid w:val="003F4148"/>
    <w:rsid w:val="003F58E4"/>
    <w:rsid w:val="003F6257"/>
    <w:rsid w:val="003F76EB"/>
    <w:rsid w:val="003F791B"/>
    <w:rsid w:val="00400B85"/>
    <w:rsid w:val="004012E4"/>
    <w:rsid w:val="00401E6C"/>
    <w:rsid w:val="00402FCE"/>
    <w:rsid w:val="004033E2"/>
    <w:rsid w:val="00403432"/>
    <w:rsid w:val="00405068"/>
    <w:rsid w:val="00405FEF"/>
    <w:rsid w:val="00406080"/>
    <w:rsid w:val="004064FD"/>
    <w:rsid w:val="004068C2"/>
    <w:rsid w:val="00406DC4"/>
    <w:rsid w:val="0041016D"/>
    <w:rsid w:val="00410948"/>
    <w:rsid w:val="00410A37"/>
    <w:rsid w:val="00413A0F"/>
    <w:rsid w:val="00413F99"/>
    <w:rsid w:val="004141C2"/>
    <w:rsid w:val="004148C2"/>
    <w:rsid w:val="00416406"/>
    <w:rsid w:val="00416831"/>
    <w:rsid w:val="004177B4"/>
    <w:rsid w:val="00420D4B"/>
    <w:rsid w:val="0042131B"/>
    <w:rsid w:val="004221D4"/>
    <w:rsid w:val="0042259F"/>
    <w:rsid w:val="004229DD"/>
    <w:rsid w:val="00422D6A"/>
    <w:rsid w:val="00422FF2"/>
    <w:rsid w:val="00423CDC"/>
    <w:rsid w:val="004251BC"/>
    <w:rsid w:val="00425C24"/>
    <w:rsid w:val="00426CA9"/>
    <w:rsid w:val="00426E24"/>
    <w:rsid w:val="00427ABC"/>
    <w:rsid w:val="004303F3"/>
    <w:rsid w:val="00430659"/>
    <w:rsid w:val="0043119A"/>
    <w:rsid w:val="00431313"/>
    <w:rsid w:val="00431E52"/>
    <w:rsid w:val="0043489D"/>
    <w:rsid w:val="00434C7E"/>
    <w:rsid w:val="0043513C"/>
    <w:rsid w:val="004353CF"/>
    <w:rsid w:val="00435595"/>
    <w:rsid w:val="0043575B"/>
    <w:rsid w:val="00436711"/>
    <w:rsid w:val="00436A02"/>
    <w:rsid w:val="00437196"/>
    <w:rsid w:val="004375D6"/>
    <w:rsid w:val="00437A99"/>
    <w:rsid w:val="00437FCA"/>
    <w:rsid w:val="00440383"/>
    <w:rsid w:val="00442784"/>
    <w:rsid w:val="00442F59"/>
    <w:rsid w:val="00443486"/>
    <w:rsid w:val="00443BC6"/>
    <w:rsid w:val="004446C4"/>
    <w:rsid w:val="0044498A"/>
    <w:rsid w:val="0044592A"/>
    <w:rsid w:val="00445F47"/>
    <w:rsid w:val="004506DB"/>
    <w:rsid w:val="0045091F"/>
    <w:rsid w:val="004515E3"/>
    <w:rsid w:val="004522E4"/>
    <w:rsid w:val="0045235A"/>
    <w:rsid w:val="004524E9"/>
    <w:rsid w:val="00452A1C"/>
    <w:rsid w:val="00453555"/>
    <w:rsid w:val="00453884"/>
    <w:rsid w:val="004558FC"/>
    <w:rsid w:val="004563B3"/>
    <w:rsid w:val="004571BA"/>
    <w:rsid w:val="004575D2"/>
    <w:rsid w:val="00460D11"/>
    <w:rsid w:val="00462558"/>
    <w:rsid w:val="0046264F"/>
    <w:rsid w:val="004628C8"/>
    <w:rsid w:val="00465D06"/>
    <w:rsid w:val="00466306"/>
    <w:rsid w:val="00467393"/>
    <w:rsid w:val="00467A6F"/>
    <w:rsid w:val="0047090D"/>
    <w:rsid w:val="004710AE"/>
    <w:rsid w:val="0047164F"/>
    <w:rsid w:val="00471EA1"/>
    <w:rsid w:val="00472970"/>
    <w:rsid w:val="004731F8"/>
    <w:rsid w:val="0047349D"/>
    <w:rsid w:val="0047375B"/>
    <w:rsid w:val="004737DE"/>
    <w:rsid w:val="00473CC5"/>
    <w:rsid w:val="004746B2"/>
    <w:rsid w:val="00474756"/>
    <w:rsid w:val="0047495C"/>
    <w:rsid w:val="00475031"/>
    <w:rsid w:val="004755F1"/>
    <w:rsid w:val="00475EBF"/>
    <w:rsid w:val="00476346"/>
    <w:rsid w:val="00476743"/>
    <w:rsid w:val="00476960"/>
    <w:rsid w:val="00476DE1"/>
    <w:rsid w:val="004773BC"/>
    <w:rsid w:val="00481A12"/>
    <w:rsid w:val="004829C8"/>
    <w:rsid w:val="00482D9C"/>
    <w:rsid w:val="00483FDE"/>
    <w:rsid w:val="00484B2A"/>
    <w:rsid w:val="00485223"/>
    <w:rsid w:val="00485EDE"/>
    <w:rsid w:val="00485F40"/>
    <w:rsid w:val="00486FA4"/>
    <w:rsid w:val="00487346"/>
    <w:rsid w:val="00487B6B"/>
    <w:rsid w:val="004900DC"/>
    <w:rsid w:val="0049012A"/>
    <w:rsid w:val="004904AA"/>
    <w:rsid w:val="00490544"/>
    <w:rsid w:val="00490BC5"/>
    <w:rsid w:val="00491132"/>
    <w:rsid w:val="0049124E"/>
    <w:rsid w:val="00491345"/>
    <w:rsid w:val="00491D5A"/>
    <w:rsid w:val="0049496C"/>
    <w:rsid w:val="00494B07"/>
    <w:rsid w:val="004953C7"/>
    <w:rsid w:val="00495ABE"/>
    <w:rsid w:val="00495B25"/>
    <w:rsid w:val="00495FA7"/>
    <w:rsid w:val="004962A2"/>
    <w:rsid w:val="00496E38"/>
    <w:rsid w:val="00496E8D"/>
    <w:rsid w:val="00497252"/>
    <w:rsid w:val="00497262"/>
    <w:rsid w:val="004A01EA"/>
    <w:rsid w:val="004A0511"/>
    <w:rsid w:val="004A1977"/>
    <w:rsid w:val="004A1BA0"/>
    <w:rsid w:val="004A24C6"/>
    <w:rsid w:val="004A24D6"/>
    <w:rsid w:val="004A2E6D"/>
    <w:rsid w:val="004A385E"/>
    <w:rsid w:val="004A4006"/>
    <w:rsid w:val="004A403D"/>
    <w:rsid w:val="004A43FC"/>
    <w:rsid w:val="004A47AC"/>
    <w:rsid w:val="004A49AD"/>
    <w:rsid w:val="004A5074"/>
    <w:rsid w:val="004A50FE"/>
    <w:rsid w:val="004A51C4"/>
    <w:rsid w:val="004A570E"/>
    <w:rsid w:val="004B0658"/>
    <w:rsid w:val="004B336F"/>
    <w:rsid w:val="004B494B"/>
    <w:rsid w:val="004B4E73"/>
    <w:rsid w:val="004B5532"/>
    <w:rsid w:val="004B5A4D"/>
    <w:rsid w:val="004B6239"/>
    <w:rsid w:val="004B69A5"/>
    <w:rsid w:val="004B6AA0"/>
    <w:rsid w:val="004B775E"/>
    <w:rsid w:val="004B77D4"/>
    <w:rsid w:val="004C049C"/>
    <w:rsid w:val="004C0993"/>
    <w:rsid w:val="004C0BAF"/>
    <w:rsid w:val="004C21D0"/>
    <w:rsid w:val="004C2B54"/>
    <w:rsid w:val="004C2D64"/>
    <w:rsid w:val="004C3DCF"/>
    <w:rsid w:val="004C49A9"/>
    <w:rsid w:val="004C5A2B"/>
    <w:rsid w:val="004C64DA"/>
    <w:rsid w:val="004C69E5"/>
    <w:rsid w:val="004C6D78"/>
    <w:rsid w:val="004C70C3"/>
    <w:rsid w:val="004C70DA"/>
    <w:rsid w:val="004C74B9"/>
    <w:rsid w:val="004C7CDB"/>
    <w:rsid w:val="004C7DDE"/>
    <w:rsid w:val="004D0BC9"/>
    <w:rsid w:val="004D15DD"/>
    <w:rsid w:val="004D1DD2"/>
    <w:rsid w:val="004D2342"/>
    <w:rsid w:val="004D2686"/>
    <w:rsid w:val="004D28F2"/>
    <w:rsid w:val="004D2C17"/>
    <w:rsid w:val="004D2F69"/>
    <w:rsid w:val="004D403B"/>
    <w:rsid w:val="004D4928"/>
    <w:rsid w:val="004D4B4C"/>
    <w:rsid w:val="004D5696"/>
    <w:rsid w:val="004D5C94"/>
    <w:rsid w:val="004D64FC"/>
    <w:rsid w:val="004D682C"/>
    <w:rsid w:val="004D6FB2"/>
    <w:rsid w:val="004E0012"/>
    <w:rsid w:val="004E1163"/>
    <w:rsid w:val="004E20A1"/>
    <w:rsid w:val="004E2971"/>
    <w:rsid w:val="004E2EB1"/>
    <w:rsid w:val="004E2F9F"/>
    <w:rsid w:val="004E33CA"/>
    <w:rsid w:val="004E3B66"/>
    <w:rsid w:val="004E3D2F"/>
    <w:rsid w:val="004E3DCF"/>
    <w:rsid w:val="004E4277"/>
    <w:rsid w:val="004E5A20"/>
    <w:rsid w:val="004E603B"/>
    <w:rsid w:val="004E6064"/>
    <w:rsid w:val="004E753D"/>
    <w:rsid w:val="004E7717"/>
    <w:rsid w:val="004E7BB0"/>
    <w:rsid w:val="004E7F76"/>
    <w:rsid w:val="004F0CDA"/>
    <w:rsid w:val="004F0DA8"/>
    <w:rsid w:val="004F1205"/>
    <w:rsid w:val="004F13EF"/>
    <w:rsid w:val="004F17DD"/>
    <w:rsid w:val="004F1C44"/>
    <w:rsid w:val="004F3169"/>
    <w:rsid w:val="004F342D"/>
    <w:rsid w:val="004F4611"/>
    <w:rsid w:val="004F5CFC"/>
    <w:rsid w:val="004F709F"/>
    <w:rsid w:val="0050060F"/>
    <w:rsid w:val="00500809"/>
    <w:rsid w:val="00500A4C"/>
    <w:rsid w:val="00501367"/>
    <w:rsid w:val="005015BB"/>
    <w:rsid w:val="00502481"/>
    <w:rsid w:val="00502729"/>
    <w:rsid w:val="00502BF0"/>
    <w:rsid w:val="005030C3"/>
    <w:rsid w:val="00503613"/>
    <w:rsid w:val="005039C8"/>
    <w:rsid w:val="00503DCD"/>
    <w:rsid w:val="00504BE9"/>
    <w:rsid w:val="00504D50"/>
    <w:rsid w:val="00505127"/>
    <w:rsid w:val="005057CF"/>
    <w:rsid w:val="00506045"/>
    <w:rsid w:val="0050735A"/>
    <w:rsid w:val="005078B3"/>
    <w:rsid w:val="0050798E"/>
    <w:rsid w:val="00510966"/>
    <w:rsid w:val="00510AC5"/>
    <w:rsid w:val="00510CB4"/>
    <w:rsid w:val="00510F43"/>
    <w:rsid w:val="0051132C"/>
    <w:rsid w:val="00511EAA"/>
    <w:rsid w:val="00513AF0"/>
    <w:rsid w:val="005143E2"/>
    <w:rsid w:val="005151EC"/>
    <w:rsid w:val="00515335"/>
    <w:rsid w:val="005154CB"/>
    <w:rsid w:val="00516750"/>
    <w:rsid w:val="00516915"/>
    <w:rsid w:val="005169A7"/>
    <w:rsid w:val="005174CA"/>
    <w:rsid w:val="00517665"/>
    <w:rsid w:val="00517FE8"/>
    <w:rsid w:val="00520806"/>
    <w:rsid w:val="005210D6"/>
    <w:rsid w:val="0052133F"/>
    <w:rsid w:val="005214D4"/>
    <w:rsid w:val="0052177E"/>
    <w:rsid w:val="00523DD4"/>
    <w:rsid w:val="0052427A"/>
    <w:rsid w:val="00524CC6"/>
    <w:rsid w:val="0052647D"/>
    <w:rsid w:val="00526BB7"/>
    <w:rsid w:val="00527802"/>
    <w:rsid w:val="00527F97"/>
    <w:rsid w:val="005300AC"/>
    <w:rsid w:val="00530221"/>
    <w:rsid w:val="0053071A"/>
    <w:rsid w:val="005310D3"/>
    <w:rsid w:val="00531351"/>
    <w:rsid w:val="00532DED"/>
    <w:rsid w:val="005330DC"/>
    <w:rsid w:val="005335C2"/>
    <w:rsid w:val="005336C1"/>
    <w:rsid w:val="00533D80"/>
    <w:rsid w:val="00533E66"/>
    <w:rsid w:val="00535A79"/>
    <w:rsid w:val="00535F90"/>
    <w:rsid w:val="00536A4B"/>
    <w:rsid w:val="00537160"/>
    <w:rsid w:val="00537692"/>
    <w:rsid w:val="00537B9C"/>
    <w:rsid w:val="00540436"/>
    <w:rsid w:val="005406D3"/>
    <w:rsid w:val="005426A3"/>
    <w:rsid w:val="0054291E"/>
    <w:rsid w:val="00542AD4"/>
    <w:rsid w:val="00542CB9"/>
    <w:rsid w:val="00543499"/>
    <w:rsid w:val="005436D1"/>
    <w:rsid w:val="00545C4C"/>
    <w:rsid w:val="00547EA4"/>
    <w:rsid w:val="00550949"/>
    <w:rsid w:val="00550A24"/>
    <w:rsid w:val="00550B33"/>
    <w:rsid w:val="0055179D"/>
    <w:rsid w:val="005518AB"/>
    <w:rsid w:val="00551F71"/>
    <w:rsid w:val="00551F87"/>
    <w:rsid w:val="0055200B"/>
    <w:rsid w:val="005534D0"/>
    <w:rsid w:val="00553987"/>
    <w:rsid w:val="00553D8B"/>
    <w:rsid w:val="00554386"/>
    <w:rsid w:val="00554AC3"/>
    <w:rsid w:val="00555108"/>
    <w:rsid w:val="00555E6A"/>
    <w:rsid w:val="005565AE"/>
    <w:rsid w:val="00557B9C"/>
    <w:rsid w:val="00557E9C"/>
    <w:rsid w:val="0056061F"/>
    <w:rsid w:val="00560F98"/>
    <w:rsid w:val="00561518"/>
    <w:rsid w:val="005617FF"/>
    <w:rsid w:val="00561BDF"/>
    <w:rsid w:val="005620F7"/>
    <w:rsid w:val="00562626"/>
    <w:rsid w:val="0056273D"/>
    <w:rsid w:val="005637C9"/>
    <w:rsid w:val="00564875"/>
    <w:rsid w:val="0056506F"/>
    <w:rsid w:val="00565B4A"/>
    <w:rsid w:val="005660FE"/>
    <w:rsid w:val="005664BC"/>
    <w:rsid w:val="005674A3"/>
    <w:rsid w:val="005676A1"/>
    <w:rsid w:val="00567A01"/>
    <w:rsid w:val="00570129"/>
    <w:rsid w:val="0057280C"/>
    <w:rsid w:val="00573341"/>
    <w:rsid w:val="00573A5D"/>
    <w:rsid w:val="00574728"/>
    <w:rsid w:val="00574FCE"/>
    <w:rsid w:val="00576132"/>
    <w:rsid w:val="00577363"/>
    <w:rsid w:val="00580069"/>
    <w:rsid w:val="0058028E"/>
    <w:rsid w:val="00580D2C"/>
    <w:rsid w:val="00581110"/>
    <w:rsid w:val="00582439"/>
    <w:rsid w:val="0058294A"/>
    <w:rsid w:val="00582A00"/>
    <w:rsid w:val="00582B60"/>
    <w:rsid w:val="00582CF0"/>
    <w:rsid w:val="00583CA9"/>
    <w:rsid w:val="00583D2B"/>
    <w:rsid w:val="00583EE0"/>
    <w:rsid w:val="00583F4C"/>
    <w:rsid w:val="005850EB"/>
    <w:rsid w:val="00585216"/>
    <w:rsid w:val="005858AF"/>
    <w:rsid w:val="00585C9B"/>
    <w:rsid w:val="00586491"/>
    <w:rsid w:val="005867A9"/>
    <w:rsid w:val="005869C5"/>
    <w:rsid w:val="00586C33"/>
    <w:rsid w:val="00586FEC"/>
    <w:rsid w:val="0058774C"/>
    <w:rsid w:val="00587CE9"/>
    <w:rsid w:val="00590E47"/>
    <w:rsid w:val="0059114F"/>
    <w:rsid w:val="005932CD"/>
    <w:rsid w:val="00593B58"/>
    <w:rsid w:val="005950F6"/>
    <w:rsid w:val="00595440"/>
    <w:rsid w:val="005965AC"/>
    <w:rsid w:val="00596C07"/>
    <w:rsid w:val="00596D71"/>
    <w:rsid w:val="00596F67"/>
    <w:rsid w:val="0059708A"/>
    <w:rsid w:val="005977DB"/>
    <w:rsid w:val="005A0250"/>
    <w:rsid w:val="005A03E2"/>
    <w:rsid w:val="005A0F7A"/>
    <w:rsid w:val="005A1ADF"/>
    <w:rsid w:val="005A1C97"/>
    <w:rsid w:val="005A2969"/>
    <w:rsid w:val="005A2D2A"/>
    <w:rsid w:val="005A475B"/>
    <w:rsid w:val="005A4766"/>
    <w:rsid w:val="005A4AA4"/>
    <w:rsid w:val="005A5F54"/>
    <w:rsid w:val="005A6256"/>
    <w:rsid w:val="005A6379"/>
    <w:rsid w:val="005A63D5"/>
    <w:rsid w:val="005A6472"/>
    <w:rsid w:val="005A68B9"/>
    <w:rsid w:val="005A785B"/>
    <w:rsid w:val="005B076C"/>
    <w:rsid w:val="005B19A4"/>
    <w:rsid w:val="005B1F9E"/>
    <w:rsid w:val="005B262B"/>
    <w:rsid w:val="005B2A00"/>
    <w:rsid w:val="005B2A08"/>
    <w:rsid w:val="005B2DF9"/>
    <w:rsid w:val="005B35C3"/>
    <w:rsid w:val="005B3C5F"/>
    <w:rsid w:val="005B3E7D"/>
    <w:rsid w:val="005B4855"/>
    <w:rsid w:val="005B4B17"/>
    <w:rsid w:val="005B70A4"/>
    <w:rsid w:val="005B72F4"/>
    <w:rsid w:val="005B7909"/>
    <w:rsid w:val="005B7FA2"/>
    <w:rsid w:val="005C07B5"/>
    <w:rsid w:val="005C0F53"/>
    <w:rsid w:val="005C2FEB"/>
    <w:rsid w:val="005C377D"/>
    <w:rsid w:val="005C3CF7"/>
    <w:rsid w:val="005C4793"/>
    <w:rsid w:val="005C5284"/>
    <w:rsid w:val="005C5675"/>
    <w:rsid w:val="005C61C4"/>
    <w:rsid w:val="005C626E"/>
    <w:rsid w:val="005C6E8A"/>
    <w:rsid w:val="005C7302"/>
    <w:rsid w:val="005D0147"/>
    <w:rsid w:val="005D0751"/>
    <w:rsid w:val="005D0EB7"/>
    <w:rsid w:val="005D150C"/>
    <w:rsid w:val="005D196A"/>
    <w:rsid w:val="005D2FC2"/>
    <w:rsid w:val="005D33B2"/>
    <w:rsid w:val="005D4274"/>
    <w:rsid w:val="005D48E0"/>
    <w:rsid w:val="005D4A43"/>
    <w:rsid w:val="005D4FD2"/>
    <w:rsid w:val="005D513D"/>
    <w:rsid w:val="005D54DC"/>
    <w:rsid w:val="005D5797"/>
    <w:rsid w:val="005D596C"/>
    <w:rsid w:val="005D6001"/>
    <w:rsid w:val="005D70CA"/>
    <w:rsid w:val="005D7D4F"/>
    <w:rsid w:val="005E02C1"/>
    <w:rsid w:val="005E06E5"/>
    <w:rsid w:val="005E126C"/>
    <w:rsid w:val="005E149A"/>
    <w:rsid w:val="005E1556"/>
    <w:rsid w:val="005E3240"/>
    <w:rsid w:val="005E3BD4"/>
    <w:rsid w:val="005E45AE"/>
    <w:rsid w:val="005E4E82"/>
    <w:rsid w:val="005E4F23"/>
    <w:rsid w:val="005E5B11"/>
    <w:rsid w:val="005E5F82"/>
    <w:rsid w:val="005E62CC"/>
    <w:rsid w:val="005E6CF4"/>
    <w:rsid w:val="005E6D15"/>
    <w:rsid w:val="005E6E1E"/>
    <w:rsid w:val="005E7426"/>
    <w:rsid w:val="005F050B"/>
    <w:rsid w:val="005F0E6B"/>
    <w:rsid w:val="005F111E"/>
    <w:rsid w:val="005F1232"/>
    <w:rsid w:val="005F1EFF"/>
    <w:rsid w:val="005F25DE"/>
    <w:rsid w:val="005F29EA"/>
    <w:rsid w:val="005F2D43"/>
    <w:rsid w:val="005F3111"/>
    <w:rsid w:val="005F4465"/>
    <w:rsid w:val="005F4827"/>
    <w:rsid w:val="005F7E0B"/>
    <w:rsid w:val="00600ADC"/>
    <w:rsid w:val="00600B2D"/>
    <w:rsid w:val="006013B7"/>
    <w:rsid w:val="00601633"/>
    <w:rsid w:val="00601B33"/>
    <w:rsid w:val="00601CBB"/>
    <w:rsid w:val="00603312"/>
    <w:rsid w:val="006039C2"/>
    <w:rsid w:val="00603B80"/>
    <w:rsid w:val="00603FC9"/>
    <w:rsid w:val="006049F0"/>
    <w:rsid w:val="00605019"/>
    <w:rsid w:val="006058FB"/>
    <w:rsid w:val="00605E2F"/>
    <w:rsid w:val="006071E0"/>
    <w:rsid w:val="00607C88"/>
    <w:rsid w:val="00607CD0"/>
    <w:rsid w:val="00610570"/>
    <w:rsid w:val="00610C60"/>
    <w:rsid w:val="006117B7"/>
    <w:rsid w:val="006121AB"/>
    <w:rsid w:val="0061415E"/>
    <w:rsid w:val="00615B23"/>
    <w:rsid w:val="006166E4"/>
    <w:rsid w:val="0061693D"/>
    <w:rsid w:val="0061699B"/>
    <w:rsid w:val="006172BB"/>
    <w:rsid w:val="00617822"/>
    <w:rsid w:val="00617B4D"/>
    <w:rsid w:val="00617D2E"/>
    <w:rsid w:val="00620F6E"/>
    <w:rsid w:val="00621CA8"/>
    <w:rsid w:val="0062390A"/>
    <w:rsid w:val="0062527A"/>
    <w:rsid w:val="006253CC"/>
    <w:rsid w:val="00626413"/>
    <w:rsid w:val="006269BC"/>
    <w:rsid w:val="00626AB4"/>
    <w:rsid w:val="00626C35"/>
    <w:rsid w:val="006271B1"/>
    <w:rsid w:val="006307BF"/>
    <w:rsid w:val="00631A6D"/>
    <w:rsid w:val="006324BD"/>
    <w:rsid w:val="006339C1"/>
    <w:rsid w:val="00633AAC"/>
    <w:rsid w:val="0063444A"/>
    <w:rsid w:val="006346AA"/>
    <w:rsid w:val="00634C15"/>
    <w:rsid w:val="00634CE1"/>
    <w:rsid w:val="00634DA8"/>
    <w:rsid w:val="00634F86"/>
    <w:rsid w:val="00635474"/>
    <w:rsid w:val="006362D0"/>
    <w:rsid w:val="006367FE"/>
    <w:rsid w:val="00636C27"/>
    <w:rsid w:val="00637781"/>
    <w:rsid w:val="00640697"/>
    <w:rsid w:val="00640DAF"/>
    <w:rsid w:val="00641599"/>
    <w:rsid w:val="00641653"/>
    <w:rsid w:val="00642816"/>
    <w:rsid w:val="00643762"/>
    <w:rsid w:val="00643A6E"/>
    <w:rsid w:val="00644528"/>
    <w:rsid w:val="00645128"/>
    <w:rsid w:val="006463C6"/>
    <w:rsid w:val="006465E6"/>
    <w:rsid w:val="00646CBA"/>
    <w:rsid w:val="00646F6A"/>
    <w:rsid w:val="006474B9"/>
    <w:rsid w:val="006503E5"/>
    <w:rsid w:val="00650996"/>
    <w:rsid w:val="00651364"/>
    <w:rsid w:val="00651C8A"/>
    <w:rsid w:val="00652047"/>
    <w:rsid w:val="00652644"/>
    <w:rsid w:val="00653ABB"/>
    <w:rsid w:val="00653F38"/>
    <w:rsid w:val="00654083"/>
    <w:rsid w:val="00654474"/>
    <w:rsid w:val="006555A3"/>
    <w:rsid w:val="006561F1"/>
    <w:rsid w:val="00656286"/>
    <w:rsid w:val="00656463"/>
    <w:rsid w:val="006570A9"/>
    <w:rsid w:val="006572E8"/>
    <w:rsid w:val="006575DC"/>
    <w:rsid w:val="00657E0F"/>
    <w:rsid w:val="00657FDC"/>
    <w:rsid w:val="00660580"/>
    <w:rsid w:val="00661A8E"/>
    <w:rsid w:val="00662B52"/>
    <w:rsid w:val="00663379"/>
    <w:rsid w:val="006641E4"/>
    <w:rsid w:val="00664A81"/>
    <w:rsid w:val="00665116"/>
    <w:rsid w:val="00665805"/>
    <w:rsid w:val="00665808"/>
    <w:rsid w:val="006664AE"/>
    <w:rsid w:val="00667FAF"/>
    <w:rsid w:val="00670184"/>
    <w:rsid w:val="00670391"/>
    <w:rsid w:val="0067093C"/>
    <w:rsid w:val="00670AE6"/>
    <w:rsid w:val="00673335"/>
    <w:rsid w:val="00673FCD"/>
    <w:rsid w:val="006742B0"/>
    <w:rsid w:val="006743EA"/>
    <w:rsid w:val="006745DC"/>
    <w:rsid w:val="00675282"/>
    <w:rsid w:val="006752EF"/>
    <w:rsid w:val="00675F64"/>
    <w:rsid w:val="00676B6C"/>
    <w:rsid w:val="0067727D"/>
    <w:rsid w:val="00677934"/>
    <w:rsid w:val="00681392"/>
    <w:rsid w:val="00681646"/>
    <w:rsid w:val="00681BA5"/>
    <w:rsid w:val="00681FF2"/>
    <w:rsid w:val="00682639"/>
    <w:rsid w:val="00683130"/>
    <w:rsid w:val="006833AA"/>
    <w:rsid w:val="006833BE"/>
    <w:rsid w:val="00683E15"/>
    <w:rsid w:val="00683F93"/>
    <w:rsid w:val="00684176"/>
    <w:rsid w:val="006842A2"/>
    <w:rsid w:val="00684DB9"/>
    <w:rsid w:val="006860E8"/>
    <w:rsid w:val="00686E50"/>
    <w:rsid w:val="006879E9"/>
    <w:rsid w:val="00687A03"/>
    <w:rsid w:val="00687FBF"/>
    <w:rsid w:val="006900B2"/>
    <w:rsid w:val="00690684"/>
    <w:rsid w:val="00690862"/>
    <w:rsid w:val="006909FC"/>
    <w:rsid w:val="006920A9"/>
    <w:rsid w:val="00692FDD"/>
    <w:rsid w:val="00693603"/>
    <w:rsid w:val="00694E13"/>
    <w:rsid w:val="00695340"/>
    <w:rsid w:val="0069592D"/>
    <w:rsid w:val="00695988"/>
    <w:rsid w:val="00695ADD"/>
    <w:rsid w:val="00695AFC"/>
    <w:rsid w:val="006963DC"/>
    <w:rsid w:val="00696876"/>
    <w:rsid w:val="006A0CDD"/>
    <w:rsid w:val="006A0D88"/>
    <w:rsid w:val="006A1129"/>
    <w:rsid w:val="006A1900"/>
    <w:rsid w:val="006A1963"/>
    <w:rsid w:val="006A38BE"/>
    <w:rsid w:val="006A3C1D"/>
    <w:rsid w:val="006A46E8"/>
    <w:rsid w:val="006A47E6"/>
    <w:rsid w:val="006A4AD1"/>
    <w:rsid w:val="006A508A"/>
    <w:rsid w:val="006A530B"/>
    <w:rsid w:val="006A5686"/>
    <w:rsid w:val="006A6B4C"/>
    <w:rsid w:val="006A6EBB"/>
    <w:rsid w:val="006A72F1"/>
    <w:rsid w:val="006A79FA"/>
    <w:rsid w:val="006B03B9"/>
    <w:rsid w:val="006B0A94"/>
    <w:rsid w:val="006B1A51"/>
    <w:rsid w:val="006B1ACB"/>
    <w:rsid w:val="006B216F"/>
    <w:rsid w:val="006B2513"/>
    <w:rsid w:val="006B2683"/>
    <w:rsid w:val="006B26F6"/>
    <w:rsid w:val="006B3143"/>
    <w:rsid w:val="006B44FD"/>
    <w:rsid w:val="006B488A"/>
    <w:rsid w:val="006B4EE6"/>
    <w:rsid w:val="006B55DF"/>
    <w:rsid w:val="006B5AFE"/>
    <w:rsid w:val="006B6103"/>
    <w:rsid w:val="006B74F6"/>
    <w:rsid w:val="006C0766"/>
    <w:rsid w:val="006C1C7D"/>
    <w:rsid w:val="006C201F"/>
    <w:rsid w:val="006C2655"/>
    <w:rsid w:val="006C28F2"/>
    <w:rsid w:val="006C2A90"/>
    <w:rsid w:val="006C3025"/>
    <w:rsid w:val="006C34BF"/>
    <w:rsid w:val="006C3F61"/>
    <w:rsid w:val="006C43AA"/>
    <w:rsid w:val="006C4A16"/>
    <w:rsid w:val="006C5286"/>
    <w:rsid w:val="006C578F"/>
    <w:rsid w:val="006C5D26"/>
    <w:rsid w:val="006C5DED"/>
    <w:rsid w:val="006C6A2B"/>
    <w:rsid w:val="006C712C"/>
    <w:rsid w:val="006D07AF"/>
    <w:rsid w:val="006D0B2A"/>
    <w:rsid w:val="006D0D64"/>
    <w:rsid w:val="006D178C"/>
    <w:rsid w:val="006D2D1C"/>
    <w:rsid w:val="006D2D5B"/>
    <w:rsid w:val="006D35DE"/>
    <w:rsid w:val="006D3682"/>
    <w:rsid w:val="006D4183"/>
    <w:rsid w:val="006D42BE"/>
    <w:rsid w:val="006D435C"/>
    <w:rsid w:val="006D5897"/>
    <w:rsid w:val="006D59F6"/>
    <w:rsid w:val="006D5CC7"/>
    <w:rsid w:val="006D63AD"/>
    <w:rsid w:val="006D654F"/>
    <w:rsid w:val="006D671F"/>
    <w:rsid w:val="006E0660"/>
    <w:rsid w:val="006E09F8"/>
    <w:rsid w:val="006E1377"/>
    <w:rsid w:val="006E1596"/>
    <w:rsid w:val="006E17E5"/>
    <w:rsid w:val="006E3E1C"/>
    <w:rsid w:val="006E533F"/>
    <w:rsid w:val="006E6BBF"/>
    <w:rsid w:val="006E764B"/>
    <w:rsid w:val="006E7847"/>
    <w:rsid w:val="006F20BB"/>
    <w:rsid w:val="006F2777"/>
    <w:rsid w:val="006F2F50"/>
    <w:rsid w:val="006F48A4"/>
    <w:rsid w:val="006F4B2A"/>
    <w:rsid w:val="006F4D1A"/>
    <w:rsid w:val="006F508B"/>
    <w:rsid w:val="006F51B7"/>
    <w:rsid w:val="006F6CB5"/>
    <w:rsid w:val="006F7255"/>
    <w:rsid w:val="006F78F4"/>
    <w:rsid w:val="006F7D3F"/>
    <w:rsid w:val="0070068C"/>
    <w:rsid w:val="00700A2B"/>
    <w:rsid w:val="007012D6"/>
    <w:rsid w:val="0070175E"/>
    <w:rsid w:val="00701C19"/>
    <w:rsid w:val="0070253D"/>
    <w:rsid w:val="007029C9"/>
    <w:rsid w:val="00702B46"/>
    <w:rsid w:val="0070311A"/>
    <w:rsid w:val="007035CE"/>
    <w:rsid w:val="0070386C"/>
    <w:rsid w:val="00704FC7"/>
    <w:rsid w:val="0070590E"/>
    <w:rsid w:val="00705FD5"/>
    <w:rsid w:val="007066F4"/>
    <w:rsid w:val="00706C65"/>
    <w:rsid w:val="0070784E"/>
    <w:rsid w:val="00707A40"/>
    <w:rsid w:val="00710133"/>
    <w:rsid w:val="00711568"/>
    <w:rsid w:val="00712772"/>
    <w:rsid w:val="00712961"/>
    <w:rsid w:val="00713715"/>
    <w:rsid w:val="00713BF8"/>
    <w:rsid w:val="00713EDC"/>
    <w:rsid w:val="0071495B"/>
    <w:rsid w:val="00715D7E"/>
    <w:rsid w:val="00716D2A"/>
    <w:rsid w:val="0071747E"/>
    <w:rsid w:val="0071753D"/>
    <w:rsid w:val="00721AD0"/>
    <w:rsid w:val="00722C26"/>
    <w:rsid w:val="00722D8A"/>
    <w:rsid w:val="007230D2"/>
    <w:rsid w:val="00723DAF"/>
    <w:rsid w:val="0072460B"/>
    <w:rsid w:val="00725134"/>
    <w:rsid w:val="007256D2"/>
    <w:rsid w:val="00726415"/>
    <w:rsid w:val="007276D7"/>
    <w:rsid w:val="00731734"/>
    <w:rsid w:val="007318EA"/>
    <w:rsid w:val="00732D29"/>
    <w:rsid w:val="00732EC6"/>
    <w:rsid w:val="00733C97"/>
    <w:rsid w:val="00733F1B"/>
    <w:rsid w:val="007343B6"/>
    <w:rsid w:val="00735601"/>
    <w:rsid w:val="00735D62"/>
    <w:rsid w:val="00736151"/>
    <w:rsid w:val="0073629B"/>
    <w:rsid w:val="00736F9D"/>
    <w:rsid w:val="007407EA"/>
    <w:rsid w:val="00740989"/>
    <w:rsid w:val="00740F6B"/>
    <w:rsid w:val="00741461"/>
    <w:rsid w:val="0074175E"/>
    <w:rsid w:val="0074233F"/>
    <w:rsid w:val="00742B94"/>
    <w:rsid w:val="00742D58"/>
    <w:rsid w:val="00745C72"/>
    <w:rsid w:val="00750CFB"/>
    <w:rsid w:val="00751C15"/>
    <w:rsid w:val="00751C67"/>
    <w:rsid w:val="00752075"/>
    <w:rsid w:val="007539FC"/>
    <w:rsid w:val="0075406B"/>
    <w:rsid w:val="00754912"/>
    <w:rsid w:val="00755038"/>
    <w:rsid w:val="00755AA8"/>
    <w:rsid w:val="00755C6A"/>
    <w:rsid w:val="00756068"/>
    <w:rsid w:val="00756190"/>
    <w:rsid w:val="00756A9D"/>
    <w:rsid w:val="00757077"/>
    <w:rsid w:val="00757EDB"/>
    <w:rsid w:val="00757EF2"/>
    <w:rsid w:val="007605AC"/>
    <w:rsid w:val="0076237D"/>
    <w:rsid w:val="00762A1C"/>
    <w:rsid w:val="007631FE"/>
    <w:rsid w:val="00763730"/>
    <w:rsid w:val="00763EA1"/>
    <w:rsid w:val="0076416C"/>
    <w:rsid w:val="00764516"/>
    <w:rsid w:val="00764E44"/>
    <w:rsid w:val="007653DA"/>
    <w:rsid w:val="00765880"/>
    <w:rsid w:val="00765892"/>
    <w:rsid w:val="00765A12"/>
    <w:rsid w:val="00766665"/>
    <w:rsid w:val="00766A59"/>
    <w:rsid w:val="00766F43"/>
    <w:rsid w:val="00767F97"/>
    <w:rsid w:val="00770840"/>
    <w:rsid w:val="00770A7D"/>
    <w:rsid w:val="00771007"/>
    <w:rsid w:val="0077183F"/>
    <w:rsid w:val="00771B4F"/>
    <w:rsid w:val="007735C0"/>
    <w:rsid w:val="0077376F"/>
    <w:rsid w:val="00773AA1"/>
    <w:rsid w:val="00773C5C"/>
    <w:rsid w:val="00774679"/>
    <w:rsid w:val="007748D1"/>
    <w:rsid w:val="00774A38"/>
    <w:rsid w:val="00774C39"/>
    <w:rsid w:val="00775199"/>
    <w:rsid w:val="0077560A"/>
    <w:rsid w:val="00775722"/>
    <w:rsid w:val="007765CD"/>
    <w:rsid w:val="0078074F"/>
    <w:rsid w:val="007809D9"/>
    <w:rsid w:val="00781B78"/>
    <w:rsid w:val="00781CA8"/>
    <w:rsid w:val="00782938"/>
    <w:rsid w:val="00783C92"/>
    <w:rsid w:val="00783DFA"/>
    <w:rsid w:val="00786028"/>
    <w:rsid w:val="007861CB"/>
    <w:rsid w:val="00786206"/>
    <w:rsid w:val="00786401"/>
    <w:rsid w:val="00786BBC"/>
    <w:rsid w:val="007874D7"/>
    <w:rsid w:val="00790748"/>
    <w:rsid w:val="0079083A"/>
    <w:rsid w:val="0079214A"/>
    <w:rsid w:val="0079289A"/>
    <w:rsid w:val="00793823"/>
    <w:rsid w:val="007940F8"/>
    <w:rsid w:val="007947AC"/>
    <w:rsid w:val="00794C52"/>
    <w:rsid w:val="00794D39"/>
    <w:rsid w:val="00795475"/>
    <w:rsid w:val="0079547F"/>
    <w:rsid w:val="00795A70"/>
    <w:rsid w:val="0079603F"/>
    <w:rsid w:val="00796653"/>
    <w:rsid w:val="007969C2"/>
    <w:rsid w:val="00796BEA"/>
    <w:rsid w:val="007970C4"/>
    <w:rsid w:val="00797588"/>
    <w:rsid w:val="0079768C"/>
    <w:rsid w:val="00797B28"/>
    <w:rsid w:val="007A00C8"/>
    <w:rsid w:val="007A0A6B"/>
    <w:rsid w:val="007A188A"/>
    <w:rsid w:val="007A1E3C"/>
    <w:rsid w:val="007A1FED"/>
    <w:rsid w:val="007A20B0"/>
    <w:rsid w:val="007A485D"/>
    <w:rsid w:val="007A551F"/>
    <w:rsid w:val="007A6867"/>
    <w:rsid w:val="007A7AA0"/>
    <w:rsid w:val="007A7FB4"/>
    <w:rsid w:val="007B027D"/>
    <w:rsid w:val="007B141D"/>
    <w:rsid w:val="007B17C6"/>
    <w:rsid w:val="007B1C4E"/>
    <w:rsid w:val="007B2F5B"/>
    <w:rsid w:val="007B44C1"/>
    <w:rsid w:val="007B44F4"/>
    <w:rsid w:val="007B485E"/>
    <w:rsid w:val="007B5748"/>
    <w:rsid w:val="007B5FC1"/>
    <w:rsid w:val="007B6DF8"/>
    <w:rsid w:val="007B786C"/>
    <w:rsid w:val="007B796F"/>
    <w:rsid w:val="007B79B5"/>
    <w:rsid w:val="007B7B39"/>
    <w:rsid w:val="007B7F96"/>
    <w:rsid w:val="007C0638"/>
    <w:rsid w:val="007C0854"/>
    <w:rsid w:val="007C0A44"/>
    <w:rsid w:val="007C0E79"/>
    <w:rsid w:val="007C12CD"/>
    <w:rsid w:val="007C16A2"/>
    <w:rsid w:val="007C3620"/>
    <w:rsid w:val="007C41CD"/>
    <w:rsid w:val="007C4A48"/>
    <w:rsid w:val="007C5EAB"/>
    <w:rsid w:val="007C5FEF"/>
    <w:rsid w:val="007C64AA"/>
    <w:rsid w:val="007C6E58"/>
    <w:rsid w:val="007C71D8"/>
    <w:rsid w:val="007C77CD"/>
    <w:rsid w:val="007D0378"/>
    <w:rsid w:val="007D0C47"/>
    <w:rsid w:val="007D19F2"/>
    <w:rsid w:val="007D1C5E"/>
    <w:rsid w:val="007D2474"/>
    <w:rsid w:val="007D2FA0"/>
    <w:rsid w:val="007D34DC"/>
    <w:rsid w:val="007D3680"/>
    <w:rsid w:val="007D3D38"/>
    <w:rsid w:val="007D5779"/>
    <w:rsid w:val="007D6760"/>
    <w:rsid w:val="007D6844"/>
    <w:rsid w:val="007D711D"/>
    <w:rsid w:val="007D75E5"/>
    <w:rsid w:val="007D7B61"/>
    <w:rsid w:val="007E00E4"/>
    <w:rsid w:val="007E0718"/>
    <w:rsid w:val="007E10DE"/>
    <w:rsid w:val="007E1455"/>
    <w:rsid w:val="007E180F"/>
    <w:rsid w:val="007E36E2"/>
    <w:rsid w:val="007E3968"/>
    <w:rsid w:val="007E3D03"/>
    <w:rsid w:val="007E407E"/>
    <w:rsid w:val="007E4A3D"/>
    <w:rsid w:val="007E4E4F"/>
    <w:rsid w:val="007E51EC"/>
    <w:rsid w:val="007E5E43"/>
    <w:rsid w:val="007E67A1"/>
    <w:rsid w:val="007E7AC6"/>
    <w:rsid w:val="007E7B91"/>
    <w:rsid w:val="007F039B"/>
    <w:rsid w:val="007F058E"/>
    <w:rsid w:val="007F0778"/>
    <w:rsid w:val="007F145D"/>
    <w:rsid w:val="007F2459"/>
    <w:rsid w:val="007F26D6"/>
    <w:rsid w:val="007F29E2"/>
    <w:rsid w:val="007F6EC1"/>
    <w:rsid w:val="007F755B"/>
    <w:rsid w:val="0080025D"/>
    <w:rsid w:val="008003F2"/>
    <w:rsid w:val="00801243"/>
    <w:rsid w:val="00801357"/>
    <w:rsid w:val="008017C7"/>
    <w:rsid w:val="00802307"/>
    <w:rsid w:val="0080260C"/>
    <w:rsid w:val="00803394"/>
    <w:rsid w:val="008038E5"/>
    <w:rsid w:val="00805FB9"/>
    <w:rsid w:val="008070FF"/>
    <w:rsid w:val="00810A1F"/>
    <w:rsid w:val="00810E74"/>
    <w:rsid w:val="00810FAC"/>
    <w:rsid w:val="008111E6"/>
    <w:rsid w:val="008112E7"/>
    <w:rsid w:val="00811F8A"/>
    <w:rsid w:val="00812825"/>
    <w:rsid w:val="00812B73"/>
    <w:rsid w:val="00812CF1"/>
    <w:rsid w:val="008144FF"/>
    <w:rsid w:val="008153F9"/>
    <w:rsid w:val="00815776"/>
    <w:rsid w:val="00816088"/>
    <w:rsid w:val="00817258"/>
    <w:rsid w:val="008173E5"/>
    <w:rsid w:val="00820031"/>
    <w:rsid w:val="0082204E"/>
    <w:rsid w:val="0082234F"/>
    <w:rsid w:val="00822426"/>
    <w:rsid w:val="008229E9"/>
    <w:rsid w:val="00822BB9"/>
    <w:rsid w:val="00822D85"/>
    <w:rsid w:val="008237D0"/>
    <w:rsid w:val="008247D0"/>
    <w:rsid w:val="00825128"/>
    <w:rsid w:val="00825557"/>
    <w:rsid w:val="00825561"/>
    <w:rsid w:val="0082560B"/>
    <w:rsid w:val="0082593B"/>
    <w:rsid w:val="00825B14"/>
    <w:rsid w:val="00825DD0"/>
    <w:rsid w:val="00827D12"/>
    <w:rsid w:val="00830D83"/>
    <w:rsid w:val="00830FD9"/>
    <w:rsid w:val="0083131E"/>
    <w:rsid w:val="00831654"/>
    <w:rsid w:val="00831DDA"/>
    <w:rsid w:val="00832A04"/>
    <w:rsid w:val="00832D98"/>
    <w:rsid w:val="00833172"/>
    <w:rsid w:val="008336C4"/>
    <w:rsid w:val="008338F0"/>
    <w:rsid w:val="00833A19"/>
    <w:rsid w:val="00833C30"/>
    <w:rsid w:val="00834609"/>
    <w:rsid w:val="00835543"/>
    <w:rsid w:val="0083676C"/>
    <w:rsid w:val="00836D41"/>
    <w:rsid w:val="0083736F"/>
    <w:rsid w:val="008377A1"/>
    <w:rsid w:val="00837CC7"/>
    <w:rsid w:val="00840295"/>
    <w:rsid w:val="00840308"/>
    <w:rsid w:val="008403EA"/>
    <w:rsid w:val="00843694"/>
    <w:rsid w:val="008444DB"/>
    <w:rsid w:val="008449EC"/>
    <w:rsid w:val="00844BC7"/>
    <w:rsid w:val="00844E72"/>
    <w:rsid w:val="0084589B"/>
    <w:rsid w:val="00845D82"/>
    <w:rsid w:val="00846609"/>
    <w:rsid w:val="00846B97"/>
    <w:rsid w:val="00847021"/>
    <w:rsid w:val="008479EE"/>
    <w:rsid w:val="00850558"/>
    <w:rsid w:val="00851D7B"/>
    <w:rsid w:val="0085302E"/>
    <w:rsid w:val="00853233"/>
    <w:rsid w:val="00853409"/>
    <w:rsid w:val="00853889"/>
    <w:rsid w:val="00854C8C"/>
    <w:rsid w:val="008551B4"/>
    <w:rsid w:val="00855525"/>
    <w:rsid w:val="00855811"/>
    <w:rsid w:val="00855BE3"/>
    <w:rsid w:val="00855F58"/>
    <w:rsid w:val="00856402"/>
    <w:rsid w:val="00860F2D"/>
    <w:rsid w:val="0086134A"/>
    <w:rsid w:val="00861885"/>
    <w:rsid w:val="00861B97"/>
    <w:rsid w:val="00861F05"/>
    <w:rsid w:val="008631B2"/>
    <w:rsid w:val="008636F5"/>
    <w:rsid w:val="0086405B"/>
    <w:rsid w:val="00864A34"/>
    <w:rsid w:val="00864C6E"/>
    <w:rsid w:val="00864E40"/>
    <w:rsid w:val="00865F08"/>
    <w:rsid w:val="00865F9B"/>
    <w:rsid w:val="00866354"/>
    <w:rsid w:val="00866EBA"/>
    <w:rsid w:val="00867331"/>
    <w:rsid w:val="0086747A"/>
    <w:rsid w:val="0086782D"/>
    <w:rsid w:val="00867980"/>
    <w:rsid w:val="008707D5"/>
    <w:rsid w:val="00870CD9"/>
    <w:rsid w:val="00871D6A"/>
    <w:rsid w:val="00873F4E"/>
    <w:rsid w:val="008744CB"/>
    <w:rsid w:val="0087462C"/>
    <w:rsid w:val="00874906"/>
    <w:rsid w:val="00874AD8"/>
    <w:rsid w:val="00875082"/>
    <w:rsid w:val="0087528A"/>
    <w:rsid w:val="00875659"/>
    <w:rsid w:val="00875EF8"/>
    <w:rsid w:val="00876464"/>
    <w:rsid w:val="008766E4"/>
    <w:rsid w:val="008779DD"/>
    <w:rsid w:val="008805C2"/>
    <w:rsid w:val="00880A07"/>
    <w:rsid w:val="00880D9E"/>
    <w:rsid w:val="00881784"/>
    <w:rsid w:val="00882142"/>
    <w:rsid w:val="0088369D"/>
    <w:rsid w:val="008849B9"/>
    <w:rsid w:val="00884ADE"/>
    <w:rsid w:val="00885877"/>
    <w:rsid w:val="0088784C"/>
    <w:rsid w:val="00890AA2"/>
    <w:rsid w:val="008910A4"/>
    <w:rsid w:val="00891143"/>
    <w:rsid w:val="00892125"/>
    <w:rsid w:val="00892B47"/>
    <w:rsid w:val="00892DAA"/>
    <w:rsid w:val="0089373B"/>
    <w:rsid w:val="00893A0B"/>
    <w:rsid w:val="00893E46"/>
    <w:rsid w:val="0089472B"/>
    <w:rsid w:val="00894C30"/>
    <w:rsid w:val="00895453"/>
    <w:rsid w:val="00895C9A"/>
    <w:rsid w:val="00896339"/>
    <w:rsid w:val="00897B56"/>
    <w:rsid w:val="00897CAB"/>
    <w:rsid w:val="008A07CE"/>
    <w:rsid w:val="008A0D71"/>
    <w:rsid w:val="008A1E95"/>
    <w:rsid w:val="008A2AFF"/>
    <w:rsid w:val="008A2F2C"/>
    <w:rsid w:val="008A3564"/>
    <w:rsid w:val="008A46B4"/>
    <w:rsid w:val="008A512A"/>
    <w:rsid w:val="008A53D3"/>
    <w:rsid w:val="008A5CF6"/>
    <w:rsid w:val="008A698E"/>
    <w:rsid w:val="008A74D7"/>
    <w:rsid w:val="008A7784"/>
    <w:rsid w:val="008B0896"/>
    <w:rsid w:val="008B0B17"/>
    <w:rsid w:val="008B1784"/>
    <w:rsid w:val="008B2285"/>
    <w:rsid w:val="008B3E48"/>
    <w:rsid w:val="008B458C"/>
    <w:rsid w:val="008B4C66"/>
    <w:rsid w:val="008B57CC"/>
    <w:rsid w:val="008B5899"/>
    <w:rsid w:val="008B64E4"/>
    <w:rsid w:val="008B6948"/>
    <w:rsid w:val="008B6A51"/>
    <w:rsid w:val="008C0EDF"/>
    <w:rsid w:val="008C110E"/>
    <w:rsid w:val="008C39BA"/>
    <w:rsid w:val="008C3E2C"/>
    <w:rsid w:val="008C5849"/>
    <w:rsid w:val="008C5D1A"/>
    <w:rsid w:val="008C5EC2"/>
    <w:rsid w:val="008C5F41"/>
    <w:rsid w:val="008C6154"/>
    <w:rsid w:val="008C687D"/>
    <w:rsid w:val="008C699F"/>
    <w:rsid w:val="008C6CA1"/>
    <w:rsid w:val="008C728F"/>
    <w:rsid w:val="008C73E5"/>
    <w:rsid w:val="008D052E"/>
    <w:rsid w:val="008D07D2"/>
    <w:rsid w:val="008D0BC1"/>
    <w:rsid w:val="008D1299"/>
    <w:rsid w:val="008D12DE"/>
    <w:rsid w:val="008D203C"/>
    <w:rsid w:val="008D21DA"/>
    <w:rsid w:val="008D2B90"/>
    <w:rsid w:val="008D2CEF"/>
    <w:rsid w:val="008D2D0D"/>
    <w:rsid w:val="008D2D6D"/>
    <w:rsid w:val="008D2FBC"/>
    <w:rsid w:val="008D36B5"/>
    <w:rsid w:val="008D3A99"/>
    <w:rsid w:val="008D4875"/>
    <w:rsid w:val="008D55EA"/>
    <w:rsid w:val="008D68C9"/>
    <w:rsid w:val="008D6E1F"/>
    <w:rsid w:val="008E0786"/>
    <w:rsid w:val="008E1192"/>
    <w:rsid w:val="008E15E6"/>
    <w:rsid w:val="008E1C6C"/>
    <w:rsid w:val="008E1E2A"/>
    <w:rsid w:val="008E2DBF"/>
    <w:rsid w:val="008E31C3"/>
    <w:rsid w:val="008E33FF"/>
    <w:rsid w:val="008E34B4"/>
    <w:rsid w:val="008E372D"/>
    <w:rsid w:val="008E3C40"/>
    <w:rsid w:val="008E414B"/>
    <w:rsid w:val="008E431E"/>
    <w:rsid w:val="008E447E"/>
    <w:rsid w:val="008E5806"/>
    <w:rsid w:val="008E60B9"/>
    <w:rsid w:val="008E6D05"/>
    <w:rsid w:val="008E6FB5"/>
    <w:rsid w:val="008E7C17"/>
    <w:rsid w:val="008F090A"/>
    <w:rsid w:val="008F0D55"/>
    <w:rsid w:val="008F17D9"/>
    <w:rsid w:val="008F1C0E"/>
    <w:rsid w:val="008F3321"/>
    <w:rsid w:val="008F34F1"/>
    <w:rsid w:val="008F46BE"/>
    <w:rsid w:val="008F46FC"/>
    <w:rsid w:val="008F4FCB"/>
    <w:rsid w:val="00900215"/>
    <w:rsid w:val="00901601"/>
    <w:rsid w:val="009020BF"/>
    <w:rsid w:val="00903EBD"/>
    <w:rsid w:val="00904615"/>
    <w:rsid w:val="0090464B"/>
    <w:rsid w:val="0090494F"/>
    <w:rsid w:val="00904B20"/>
    <w:rsid w:val="00905AAE"/>
    <w:rsid w:val="00905F74"/>
    <w:rsid w:val="00906960"/>
    <w:rsid w:val="00907A9B"/>
    <w:rsid w:val="00911777"/>
    <w:rsid w:val="00912ABA"/>
    <w:rsid w:val="00912F67"/>
    <w:rsid w:val="0091345E"/>
    <w:rsid w:val="009137EE"/>
    <w:rsid w:val="00913D63"/>
    <w:rsid w:val="009140F5"/>
    <w:rsid w:val="0091416D"/>
    <w:rsid w:val="00915A4A"/>
    <w:rsid w:val="00915EC8"/>
    <w:rsid w:val="0091601C"/>
    <w:rsid w:val="00916288"/>
    <w:rsid w:val="0091671A"/>
    <w:rsid w:val="0091696B"/>
    <w:rsid w:val="00916980"/>
    <w:rsid w:val="009177F4"/>
    <w:rsid w:val="00921562"/>
    <w:rsid w:val="009226DE"/>
    <w:rsid w:val="00923182"/>
    <w:rsid w:val="00923A91"/>
    <w:rsid w:val="0092404B"/>
    <w:rsid w:val="00925C75"/>
    <w:rsid w:val="009269C3"/>
    <w:rsid w:val="00926DBA"/>
    <w:rsid w:val="00927472"/>
    <w:rsid w:val="00927AF6"/>
    <w:rsid w:val="00927F49"/>
    <w:rsid w:val="0093026C"/>
    <w:rsid w:val="0093065D"/>
    <w:rsid w:val="009307F6"/>
    <w:rsid w:val="00930BB2"/>
    <w:rsid w:val="00930D3A"/>
    <w:rsid w:val="00930EC2"/>
    <w:rsid w:val="009327D7"/>
    <w:rsid w:val="00933B97"/>
    <w:rsid w:val="00934402"/>
    <w:rsid w:val="0093457A"/>
    <w:rsid w:val="00934A24"/>
    <w:rsid w:val="00935686"/>
    <w:rsid w:val="00935993"/>
    <w:rsid w:val="00937025"/>
    <w:rsid w:val="0093752D"/>
    <w:rsid w:val="0093767A"/>
    <w:rsid w:val="0093783D"/>
    <w:rsid w:val="00941469"/>
    <w:rsid w:val="00941703"/>
    <w:rsid w:val="00942DD7"/>
    <w:rsid w:val="00943194"/>
    <w:rsid w:val="0094327F"/>
    <w:rsid w:val="00943DF3"/>
    <w:rsid w:val="00943F8B"/>
    <w:rsid w:val="009458A7"/>
    <w:rsid w:val="009464DA"/>
    <w:rsid w:val="0094659A"/>
    <w:rsid w:val="009470E4"/>
    <w:rsid w:val="00950829"/>
    <w:rsid w:val="0095134E"/>
    <w:rsid w:val="009526CE"/>
    <w:rsid w:val="00952E47"/>
    <w:rsid w:val="00953148"/>
    <w:rsid w:val="00953706"/>
    <w:rsid w:val="00953889"/>
    <w:rsid w:val="0095525E"/>
    <w:rsid w:val="0095684A"/>
    <w:rsid w:val="009569E7"/>
    <w:rsid w:val="009569ED"/>
    <w:rsid w:val="0095753C"/>
    <w:rsid w:val="0095791D"/>
    <w:rsid w:val="00957D7B"/>
    <w:rsid w:val="00957DA5"/>
    <w:rsid w:val="00961496"/>
    <w:rsid w:val="009619DE"/>
    <w:rsid w:val="00961CFB"/>
    <w:rsid w:val="00962117"/>
    <w:rsid w:val="00962454"/>
    <w:rsid w:val="009624C6"/>
    <w:rsid w:val="00962DEA"/>
    <w:rsid w:val="00963D5F"/>
    <w:rsid w:val="00964276"/>
    <w:rsid w:val="00965090"/>
    <w:rsid w:val="0096628D"/>
    <w:rsid w:val="009665B5"/>
    <w:rsid w:val="00966F2B"/>
    <w:rsid w:val="00967345"/>
    <w:rsid w:val="0096739F"/>
    <w:rsid w:val="0097011A"/>
    <w:rsid w:val="00971459"/>
    <w:rsid w:val="00971498"/>
    <w:rsid w:val="00971DE1"/>
    <w:rsid w:val="009720E0"/>
    <w:rsid w:val="00972983"/>
    <w:rsid w:val="00972DD9"/>
    <w:rsid w:val="00973205"/>
    <w:rsid w:val="00973399"/>
    <w:rsid w:val="00973C23"/>
    <w:rsid w:val="00974552"/>
    <w:rsid w:val="00974A8C"/>
    <w:rsid w:val="00974DD0"/>
    <w:rsid w:val="0097628A"/>
    <w:rsid w:val="009762A8"/>
    <w:rsid w:val="00977730"/>
    <w:rsid w:val="00977891"/>
    <w:rsid w:val="00977B9E"/>
    <w:rsid w:val="00977E00"/>
    <w:rsid w:val="00980B53"/>
    <w:rsid w:val="0098100C"/>
    <w:rsid w:val="009813A8"/>
    <w:rsid w:val="00981647"/>
    <w:rsid w:val="00981BDF"/>
    <w:rsid w:val="00981DA0"/>
    <w:rsid w:val="00981F63"/>
    <w:rsid w:val="00981FDC"/>
    <w:rsid w:val="00983299"/>
    <w:rsid w:val="00983EDA"/>
    <w:rsid w:val="009849D3"/>
    <w:rsid w:val="0098596A"/>
    <w:rsid w:val="00985FCB"/>
    <w:rsid w:val="009871C3"/>
    <w:rsid w:val="0098731D"/>
    <w:rsid w:val="0098742D"/>
    <w:rsid w:val="0098791E"/>
    <w:rsid w:val="009900F0"/>
    <w:rsid w:val="009918A5"/>
    <w:rsid w:val="009921F0"/>
    <w:rsid w:val="00992E3F"/>
    <w:rsid w:val="00993946"/>
    <w:rsid w:val="00993AF0"/>
    <w:rsid w:val="0099426D"/>
    <w:rsid w:val="009944E5"/>
    <w:rsid w:val="00994529"/>
    <w:rsid w:val="0099522E"/>
    <w:rsid w:val="009958CF"/>
    <w:rsid w:val="0099626B"/>
    <w:rsid w:val="0099634F"/>
    <w:rsid w:val="0099655F"/>
    <w:rsid w:val="0099667B"/>
    <w:rsid w:val="00997082"/>
    <w:rsid w:val="009971AF"/>
    <w:rsid w:val="00997506"/>
    <w:rsid w:val="009A03F6"/>
    <w:rsid w:val="009A088B"/>
    <w:rsid w:val="009A0F9D"/>
    <w:rsid w:val="009A14A8"/>
    <w:rsid w:val="009A1775"/>
    <w:rsid w:val="009A214F"/>
    <w:rsid w:val="009A3524"/>
    <w:rsid w:val="009A392B"/>
    <w:rsid w:val="009A39D2"/>
    <w:rsid w:val="009A4080"/>
    <w:rsid w:val="009A668F"/>
    <w:rsid w:val="009A6850"/>
    <w:rsid w:val="009B004F"/>
    <w:rsid w:val="009B03E9"/>
    <w:rsid w:val="009B0F46"/>
    <w:rsid w:val="009B1892"/>
    <w:rsid w:val="009B2B8D"/>
    <w:rsid w:val="009B2EE7"/>
    <w:rsid w:val="009B309F"/>
    <w:rsid w:val="009B4269"/>
    <w:rsid w:val="009B47CD"/>
    <w:rsid w:val="009B5DFE"/>
    <w:rsid w:val="009B6DF0"/>
    <w:rsid w:val="009B7483"/>
    <w:rsid w:val="009B753E"/>
    <w:rsid w:val="009B7D41"/>
    <w:rsid w:val="009B7FDC"/>
    <w:rsid w:val="009C09B1"/>
    <w:rsid w:val="009C12C9"/>
    <w:rsid w:val="009C145B"/>
    <w:rsid w:val="009C1C25"/>
    <w:rsid w:val="009C2067"/>
    <w:rsid w:val="009C243F"/>
    <w:rsid w:val="009C26BD"/>
    <w:rsid w:val="009C2CBB"/>
    <w:rsid w:val="009C31CD"/>
    <w:rsid w:val="009C3539"/>
    <w:rsid w:val="009C3623"/>
    <w:rsid w:val="009C3799"/>
    <w:rsid w:val="009C49D2"/>
    <w:rsid w:val="009C4AFB"/>
    <w:rsid w:val="009C5440"/>
    <w:rsid w:val="009C57C0"/>
    <w:rsid w:val="009C6269"/>
    <w:rsid w:val="009C696A"/>
    <w:rsid w:val="009C6EA5"/>
    <w:rsid w:val="009C741D"/>
    <w:rsid w:val="009C762C"/>
    <w:rsid w:val="009D0F54"/>
    <w:rsid w:val="009D0FC4"/>
    <w:rsid w:val="009D201F"/>
    <w:rsid w:val="009D2703"/>
    <w:rsid w:val="009D27C6"/>
    <w:rsid w:val="009D2C6B"/>
    <w:rsid w:val="009D2EDE"/>
    <w:rsid w:val="009D3B3A"/>
    <w:rsid w:val="009D3EC5"/>
    <w:rsid w:val="009D3F43"/>
    <w:rsid w:val="009D4EC2"/>
    <w:rsid w:val="009D51E2"/>
    <w:rsid w:val="009D56DB"/>
    <w:rsid w:val="009D5BB1"/>
    <w:rsid w:val="009D5E6A"/>
    <w:rsid w:val="009D6256"/>
    <w:rsid w:val="009D6631"/>
    <w:rsid w:val="009D6780"/>
    <w:rsid w:val="009D6937"/>
    <w:rsid w:val="009D6B55"/>
    <w:rsid w:val="009D6C32"/>
    <w:rsid w:val="009D7752"/>
    <w:rsid w:val="009D77A0"/>
    <w:rsid w:val="009D7A31"/>
    <w:rsid w:val="009E06C0"/>
    <w:rsid w:val="009E10AE"/>
    <w:rsid w:val="009E1C97"/>
    <w:rsid w:val="009E2939"/>
    <w:rsid w:val="009E314E"/>
    <w:rsid w:val="009E466D"/>
    <w:rsid w:val="009E4BAE"/>
    <w:rsid w:val="009E5516"/>
    <w:rsid w:val="009E6460"/>
    <w:rsid w:val="009E7173"/>
    <w:rsid w:val="009E77CF"/>
    <w:rsid w:val="009F12CE"/>
    <w:rsid w:val="009F1857"/>
    <w:rsid w:val="009F1A75"/>
    <w:rsid w:val="009F1FF8"/>
    <w:rsid w:val="009F2167"/>
    <w:rsid w:val="009F2CDB"/>
    <w:rsid w:val="009F3015"/>
    <w:rsid w:val="009F33B4"/>
    <w:rsid w:val="009F4ECA"/>
    <w:rsid w:val="009F547D"/>
    <w:rsid w:val="009F5481"/>
    <w:rsid w:val="009F548B"/>
    <w:rsid w:val="009F6A3A"/>
    <w:rsid w:val="00A00E48"/>
    <w:rsid w:val="00A01329"/>
    <w:rsid w:val="00A01592"/>
    <w:rsid w:val="00A026D8"/>
    <w:rsid w:val="00A02AEB"/>
    <w:rsid w:val="00A033E1"/>
    <w:rsid w:val="00A04710"/>
    <w:rsid w:val="00A04AB2"/>
    <w:rsid w:val="00A04BB1"/>
    <w:rsid w:val="00A04BDC"/>
    <w:rsid w:val="00A059C1"/>
    <w:rsid w:val="00A07812"/>
    <w:rsid w:val="00A07A22"/>
    <w:rsid w:val="00A07D9F"/>
    <w:rsid w:val="00A07DCC"/>
    <w:rsid w:val="00A07FB3"/>
    <w:rsid w:val="00A10942"/>
    <w:rsid w:val="00A1108D"/>
    <w:rsid w:val="00A11B22"/>
    <w:rsid w:val="00A13870"/>
    <w:rsid w:val="00A13EF2"/>
    <w:rsid w:val="00A14ADE"/>
    <w:rsid w:val="00A15E8C"/>
    <w:rsid w:val="00A1670C"/>
    <w:rsid w:val="00A16885"/>
    <w:rsid w:val="00A16A68"/>
    <w:rsid w:val="00A17780"/>
    <w:rsid w:val="00A17FE6"/>
    <w:rsid w:val="00A20714"/>
    <w:rsid w:val="00A21518"/>
    <w:rsid w:val="00A21AE5"/>
    <w:rsid w:val="00A22FD1"/>
    <w:rsid w:val="00A231BF"/>
    <w:rsid w:val="00A237AE"/>
    <w:rsid w:val="00A2383D"/>
    <w:rsid w:val="00A24767"/>
    <w:rsid w:val="00A27353"/>
    <w:rsid w:val="00A275AF"/>
    <w:rsid w:val="00A279A3"/>
    <w:rsid w:val="00A27C4F"/>
    <w:rsid w:val="00A27F76"/>
    <w:rsid w:val="00A30279"/>
    <w:rsid w:val="00A311E2"/>
    <w:rsid w:val="00A31E53"/>
    <w:rsid w:val="00A3215B"/>
    <w:rsid w:val="00A32BB8"/>
    <w:rsid w:val="00A3398E"/>
    <w:rsid w:val="00A349E4"/>
    <w:rsid w:val="00A357D3"/>
    <w:rsid w:val="00A35CB0"/>
    <w:rsid w:val="00A35D39"/>
    <w:rsid w:val="00A35F7D"/>
    <w:rsid w:val="00A364D5"/>
    <w:rsid w:val="00A36B62"/>
    <w:rsid w:val="00A37423"/>
    <w:rsid w:val="00A375BB"/>
    <w:rsid w:val="00A40688"/>
    <w:rsid w:val="00A41773"/>
    <w:rsid w:val="00A42079"/>
    <w:rsid w:val="00A42AEE"/>
    <w:rsid w:val="00A42EE0"/>
    <w:rsid w:val="00A43098"/>
    <w:rsid w:val="00A43822"/>
    <w:rsid w:val="00A44E46"/>
    <w:rsid w:val="00A45244"/>
    <w:rsid w:val="00A4568C"/>
    <w:rsid w:val="00A465E2"/>
    <w:rsid w:val="00A46E6D"/>
    <w:rsid w:val="00A47971"/>
    <w:rsid w:val="00A513FA"/>
    <w:rsid w:val="00A52147"/>
    <w:rsid w:val="00A52159"/>
    <w:rsid w:val="00A52BE1"/>
    <w:rsid w:val="00A5357C"/>
    <w:rsid w:val="00A53683"/>
    <w:rsid w:val="00A54291"/>
    <w:rsid w:val="00A542AF"/>
    <w:rsid w:val="00A544FB"/>
    <w:rsid w:val="00A54C2B"/>
    <w:rsid w:val="00A55786"/>
    <w:rsid w:val="00A55C2A"/>
    <w:rsid w:val="00A5614B"/>
    <w:rsid w:val="00A56210"/>
    <w:rsid w:val="00A56F48"/>
    <w:rsid w:val="00A578E3"/>
    <w:rsid w:val="00A60BCE"/>
    <w:rsid w:val="00A6121E"/>
    <w:rsid w:val="00A6182D"/>
    <w:rsid w:val="00A6272F"/>
    <w:rsid w:val="00A6286A"/>
    <w:rsid w:val="00A62D2A"/>
    <w:rsid w:val="00A62E69"/>
    <w:rsid w:val="00A63753"/>
    <w:rsid w:val="00A6482E"/>
    <w:rsid w:val="00A659F9"/>
    <w:rsid w:val="00A66288"/>
    <w:rsid w:val="00A66381"/>
    <w:rsid w:val="00A666F0"/>
    <w:rsid w:val="00A669DC"/>
    <w:rsid w:val="00A67629"/>
    <w:rsid w:val="00A7004B"/>
    <w:rsid w:val="00A703C2"/>
    <w:rsid w:val="00A71445"/>
    <w:rsid w:val="00A7180A"/>
    <w:rsid w:val="00A71985"/>
    <w:rsid w:val="00A7278D"/>
    <w:rsid w:val="00A72D91"/>
    <w:rsid w:val="00A73E2A"/>
    <w:rsid w:val="00A751DC"/>
    <w:rsid w:val="00A76C77"/>
    <w:rsid w:val="00A770CD"/>
    <w:rsid w:val="00A771CB"/>
    <w:rsid w:val="00A77919"/>
    <w:rsid w:val="00A77DCE"/>
    <w:rsid w:val="00A803ED"/>
    <w:rsid w:val="00A80821"/>
    <w:rsid w:val="00A813D3"/>
    <w:rsid w:val="00A81442"/>
    <w:rsid w:val="00A8145E"/>
    <w:rsid w:val="00A8148D"/>
    <w:rsid w:val="00A83427"/>
    <w:rsid w:val="00A849C3"/>
    <w:rsid w:val="00A84F69"/>
    <w:rsid w:val="00A8529D"/>
    <w:rsid w:val="00A87283"/>
    <w:rsid w:val="00A877AE"/>
    <w:rsid w:val="00A9207D"/>
    <w:rsid w:val="00A92178"/>
    <w:rsid w:val="00A92423"/>
    <w:rsid w:val="00A928AD"/>
    <w:rsid w:val="00A92A9B"/>
    <w:rsid w:val="00A92FED"/>
    <w:rsid w:val="00A93F86"/>
    <w:rsid w:val="00A94A2D"/>
    <w:rsid w:val="00A951AB"/>
    <w:rsid w:val="00A960F5"/>
    <w:rsid w:val="00A976BB"/>
    <w:rsid w:val="00A97C6C"/>
    <w:rsid w:val="00AA0B63"/>
    <w:rsid w:val="00AA1A1C"/>
    <w:rsid w:val="00AA1CD2"/>
    <w:rsid w:val="00AA1EDE"/>
    <w:rsid w:val="00AA3456"/>
    <w:rsid w:val="00AA4C76"/>
    <w:rsid w:val="00AA521A"/>
    <w:rsid w:val="00AA52A6"/>
    <w:rsid w:val="00AA5426"/>
    <w:rsid w:val="00AA6323"/>
    <w:rsid w:val="00AA6418"/>
    <w:rsid w:val="00AA653D"/>
    <w:rsid w:val="00AA70E0"/>
    <w:rsid w:val="00AA710E"/>
    <w:rsid w:val="00AA720C"/>
    <w:rsid w:val="00AA7437"/>
    <w:rsid w:val="00AB0B20"/>
    <w:rsid w:val="00AB1070"/>
    <w:rsid w:val="00AB15C0"/>
    <w:rsid w:val="00AB1AA0"/>
    <w:rsid w:val="00AB1E86"/>
    <w:rsid w:val="00AB2239"/>
    <w:rsid w:val="00AB2268"/>
    <w:rsid w:val="00AB2551"/>
    <w:rsid w:val="00AB2B9C"/>
    <w:rsid w:val="00AB306F"/>
    <w:rsid w:val="00AB316A"/>
    <w:rsid w:val="00AB33ED"/>
    <w:rsid w:val="00AB3FD3"/>
    <w:rsid w:val="00AB4D03"/>
    <w:rsid w:val="00AB4EDE"/>
    <w:rsid w:val="00AB4F9F"/>
    <w:rsid w:val="00AB6515"/>
    <w:rsid w:val="00AB6622"/>
    <w:rsid w:val="00AB69CC"/>
    <w:rsid w:val="00AB6C38"/>
    <w:rsid w:val="00AB7E21"/>
    <w:rsid w:val="00AC0B02"/>
    <w:rsid w:val="00AC0C65"/>
    <w:rsid w:val="00AC1016"/>
    <w:rsid w:val="00AC1327"/>
    <w:rsid w:val="00AC1469"/>
    <w:rsid w:val="00AC1BAA"/>
    <w:rsid w:val="00AC2223"/>
    <w:rsid w:val="00AC3857"/>
    <w:rsid w:val="00AC48B4"/>
    <w:rsid w:val="00AC4B59"/>
    <w:rsid w:val="00AC4F2C"/>
    <w:rsid w:val="00AC76A4"/>
    <w:rsid w:val="00AC76D8"/>
    <w:rsid w:val="00AC78EC"/>
    <w:rsid w:val="00AC7EBB"/>
    <w:rsid w:val="00AD0C07"/>
    <w:rsid w:val="00AD1AAE"/>
    <w:rsid w:val="00AD37F5"/>
    <w:rsid w:val="00AD3B67"/>
    <w:rsid w:val="00AD4547"/>
    <w:rsid w:val="00AD4F41"/>
    <w:rsid w:val="00AD5BC2"/>
    <w:rsid w:val="00AD6397"/>
    <w:rsid w:val="00AD639F"/>
    <w:rsid w:val="00AD6587"/>
    <w:rsid w:val="00AD659A"/>
    <w:rsid w:val="00AD682A"/>
    <w:rsid w:val="00AD6931"/>
    <w:rsid w:val="00AD6F62"/>
    <w:rsid w:val="00AD775F"/>
    <w:rsid w:val="00AE1C46"/>
    <w:rsid w:val="00AE2CC8"/>
    <w:rsid w:val="00AE2D0E"/>
    <w:rsid w:val="00AE3E45"/>
    <w:rsid w:val="00AE4276"/>
    <w:rsid w:val="00AE463D"/>
    <w:rsid w:val="00AE47FE"/>
    <w:rsid w:val="00AE553B"/>
    <w:rsid w:val="00AE55E0"/>
    <w:rsid w:val="00AE62CB"/>
    <w:rsid w:val="00AE756D"/>
    <w:rsid w:val="00AE77EC"/>
    <w:rsid w:val="00AE79F7"/>
    <w:rsid w:val="00AE7BA6"/>
    <w:rsid w:val="00AF0E7A"/>
    <w:rsid w:val="00AF17FD"/>
    <w:rsid w:val="00AF2F28"/>
    <w:rsid w:val="00AF3174"/>
    <w:rsid w:val="00AF3763"/>
    <w:rsid w:val="00AF3EDA"/>
    <w:rsid w:val="00AF42B2"/>
    <w:rsid w:val="00AF6E35"/>
    <w:rsid w:val="00B003CF"/>
    <w:rsid w:val="00B01472"/>
    <w:rsid w:val="00B01961"/>
    <w:rsid w:val="00B019D3"/>
    <w:rsid w:val="00B01D46"/>
    <w:rsid w:val="00B03578"/>
    <w:rsid w:val="00B03DAD"/>
    <w:rsid w:val="00B0410E"/>
    <w:rsid w:val="00B043CB"/>
    <w:rsid w:val="00B04853"/>
    <w:rsid w:val="00B04950"/>
    <w:rsid w:val="00B052B6"/>
    <w:rsid w:val="00B0545C"/>
    <w:rsid w:val="00B05832"/>
    <w:rsid w:val="00B06033"/>
    <w:rsid w:val="00B06DA2"/>
    <w:rsid w:val="00B07E2C"/>
    <w:rsid w:val="00B10A68"/>
    <w:rsid w:val="00B11558"/>
    <w:rsid w:val="00B126B0"/>
    <w:rsid w:val="00B12C65"/>
    <w:rsid w:val="00B132D4"/>
    <w:rsid w:val="00B13D63"/>
    <w:rsid w:val="00B15986"/>
    <w:rsid w:val="00B16F08"/>
    <w:rsid w:val="00B17447"/>
    <w:rsid w:val="00B2071B"/>
    <w:rsid w:val="00B20E94"/>
    <w:rsid w:val="00B215D7"/>
    <w:rsid w:val="00B21C55"/>
    <w:rsid w:val="00B2223C"/>
    <w:rsid w:val="00B22DCA"/>
    <w:rsid w:val="00B22DCB"/>
    <w:rsid w:val="00B23F66"/>
    <w:rsid w:val="00B2588A"/>
    <w:rsid w:val="00B25A34"/>
    <w:rsid w:val="00B2656E"/>
    <w:rsid w:val="00B266FC"/>
    <w:rsid w:val="00B26887"/>
    <w:rsid w:val="00B2699B"/>
    <w:rsid w:val="00B26E7F"/>
    <w:rsid w:val="00B30D33"/>
    <w:rsid w:val="00B31480"/>
    <w:rsid w:val="00B3152E"/>
    <w:rsid w:val="00B327B3"/>
    <w:rsid w:val="00B34165"/>
    <w:rsid w:val="00B341A3"/>
    <w:rsid w:val="00B3440B"/>
    <w:rsid w:val="00B34418"/>
    <w:rsid w:val="00B34CB8"/>
    <w:rsid w:val="00B34FF0"/>
    <w:rsid w:val="00B35147"/>
    <w:rsid w:val="00B35406"/>
    <w:rsid w:val="00B3606C"/>
    <w:rsid w:val="00B400DB"/>
    <w:rsid w:val="00B40337"/>
    <w:rsid w:val="00B42E66"/>
    <w:rsid w:val="00B43453"/>
    <w:rsid w:val="00B43900"/>
    <w:rsid w:val="00B4449A"/>
    <w:rsid w:val="00B4479D"/>
    <w:rsid w:val="00B44E11"/>
    <w:rsid w:val="00B45142"/>
    <w:rsid w:val="00B4628B"/>
    <w:rsid w:val="00B467A4"/>
    <w:rsid w:val="00B46C2A"/>
    <w:rsid w:val="00B46E8F"/>
    <w:rsid w:val="00B46E9B"/>
    <w:rsid w:val="00B476C1"/>
    <w:rsid w:val="00B5008D"/>
    <w:rsid w:val="00B50FDE"/>
    <w:rsid w:val="00B523B8"/>
    <w:rsid w:val="00B5240A"/>
    <w:rsid w:val="00B527AD"/>
    <w:rsid w:val="00B52A86"/>
    <w:rsid w:val="00B53075"/>
    <w:rsid w:val="00B53294"/>
    <w:rsid w:val="00B5361D"/>
    <w:rsid w:val="00B537AC"/>
    <w:rsid w:val="00B53E9D"/>
    <w:rsid w:val="00B54125"/>
    <w:rsid w:val="00B54987"/>
    <w:rsid w:val="00B551B7"/>
    <w:rsid w:val="00B560F1"/>
    <w:rsid w:val="00B56CCC"/>
    <w:rsid w:val="00B56D05"/>
    <w:rsid w:val="00B56D90"/>
    <w:rsid w:val="00B57AB6"/>
    <w:rsid w:val="00B609A1"/>
    <w:rsid w:val="00B60DD5"/>
    <w:rsid w:val="00B61146"/>
    <w:rsid w:val="00B626D6"/>
    <w:rsid w:val="00B62918"/>
    <w:rsid w:val="00B63E1E"/>
    <w:rsid w:val="00B642DA"/>
    <w:rsid w:val="00B64F40"/>
    <w:rsid w:val="00B64F77"/>
    <w:rsid w:val="00B64FF5"/>
    <w:rsid w:val="00B659E9"/>
    <w:rsid w:val="00B668C8"/>
    <w:rsid w:val="00B66EFF"/>
    <w:rsid w:val="00B6703D"/>
    <w:rsid w:val="00B67942"/>
    <w:rsid w:val="00B67F01"/>
    <w:rsid w:val="00B712AE"/>
    <w:rsid w:val="00B717EE"/>
    <w:rsid w:val="00B71967"/>
    <w:rsid w:val="00B724F1"/>
    <w:rsid w:val="00B72F6C"/>
    <w:rsid w:val="00B747FD"/>
    <w:rsid w:val="00B74BDB"/>
    <w:rsid w:val="00B74E00"/>
    <w:rsid w:val="00B77A4F"/>
    <w:rsid w:val="00B80ECF"/>
    <w:rsid w:val="00B839F1"/>
    <w:rsid w:val="00B83C12"/>
    <w:rsid w:val="00B83C30"/>
    <w:rsid w:val="00B83CF3"/>
    <w:rsid w:val="00B83D37"/>
    <w:rsid w:val="00B83E8C"/>
    <w:rsid w:val="00B840C4"/>
    <w:rsid w:val="00B847CA"/>
    <w:rsid w:val="00B85110"/>
    <w:rsid w:val="00B8565E"/>
    <w:rsid w:val="00B8682F"/>
    <w:rsid w:val="00B86922"/>
    <w:rsid w:val="00B8739F"/>
    <w:rsid w:val="00B874B3"/>
    <w:rsid w:val="00B9039C"/>
    <w:rsid w:val="00B909AD"/>
    <w:rsid w:val="00B9140B"/>
    <w:rsid w:val="00B92008"/>
    <w:rsid w:val="00B92C12"/>
    <w:rsid w:val="00B92CF6"/>
    <w:rsid w:val="00B9382F"/>
    <w:rsid w:val="00B93938"/>
    <w:rsid w:val="00B948A4"/>
    <w:rsid w:val="00B94EEB"/>
    <w:rsid w:val="00B954CA"/>
    <w:rsid w:val="00B959FE"/>
    <w:rsid w:val="00B95D83"/>
    <w:rsid w:val="00B96952"/>
    <w:rsid w:val="00B978FC"/>
    <w:rsid w:val="00BA0A8D"/>
    <w:rsid w:val="00BA0E0E"/>
    <w:rsid w:val="00BA0F32"/>
    <w:rsid w:val="00BA0FB9"/>
    <w:rsid w:val="00BA24BB"/>
    <w:rsid w:val="00BA2A1B"/>
    <w:rsid w:val="00BA2DD5"/>
    <w:rsid w:val="00BA2F3F"/>
    <w:rsid w:val="00BA37E2"/>
    <w:rsid w:val="00BA41AB"/>
    <w:rsid w:val="00BA4A1D"/>
    <w:rsid w:val="00BA5263"/>
    <w:rsid w:val="00BA5C52"/>
    <w:rsid w:val="00BA62B0"/>
    <w:rsid w:val="00BA6E1F"/>
    <w:rsid w:val="00BA6E3E"/>
    <w:rsid w:val="00BA6F98"/>
    <w:rsid w:val="00BA7AE8"/>
    <w:rsid w:val="00BB034B"/>
    <w:rsid w:val="00BB04DD"/>
    <w:rsid w:val="00BB0E3C"/>
    <w:rsid w:val="00BB131C"/>
    <w:rsid w:val="00BB1AD7"/>
    <w:rsid w:val="00BB21BA"/>
    <w:rsid w:val="00BB36F8"/>
    <w:rsid w:val="00BB3786"/>
    <w:rsid w:val="00BB5C03"/>
    <w:rsid w:val="00BB68D9"/>
    <w:rsid w:val="00BB73D8"/>
    <w:rsid w:val="00BB7CDC"/>
    <w:rsid w:val="00BB7DE1"/>
    <w:rsid w:val="00BC02DE"/>
    <w:rsid w:val="00BC1AFB"/>
    <w:rsid w:val="00BC2216"/>
    <w:rsid w:val="00BC23D9"/>
    <w:rsid w:val="00BC24EB"/>
    <w:rsid w:val="00BC29C0"/>
    <w:rsid w:val="00BC2CF0"/>
    <w:rsid w:val="00BC405C"/>
    <w:rsid w:val="00BC41C2"/>
    <w:rsid w:val="00BC4DB0"/>
    <w:rsid w:val="00BC4F02"/>
    <w:rsid w:val="00BC5261"/>
    <w:rsid w:val="00BC5947"/>
    <w:rsid w:val="00BC5AB7"/>
    <w:rsid w:val="00BC66C4"/>
    <w:rsid w:val="00BC6E26"/>
    <w:rsid w:val="00BC6F45"/>
    <w:rsid w:val="00BC74A3"/>
    <w:rsid w:val="00BC7AD9"/>
    <w:rsid w:val="00BD0704"/>
    <w:rsid w:val="00BD2125"/>
    <w:rsid w:val="00BD2AC4"/>
    <w:rsid w:val="00BD2B6C"/>
    <w:rsid w:val="00BD2FE7"/>
    <w:rsid w:val="00BD335A"/>
    <w:rsid w:val="00BD355D"/>
    <w:rsid w:val="00BD4DE8"/>
    <w:rsid w:val="00BD59FB"/>
    <w:rsid w:val="00BD5CBC"/>
    <w:rsid w:val="00BD60AE"/>
    <w:rsid w:val="00BD6375"/>
    <w:rsid w:val="00BD6DCE"/>
    <w:rsid w:val="00BD6E90"/>
    <w:rsid w:val="00BD6FE7"/>
    <w:rsid w:val="00BD7030"/>
    <w:rsid w:val="00BE24CC"/>
    <w:rsid w:val="00BE2FAE"/>
    <w:rsid w:val="00BE33F5"/>
    <w:rsid w:val="00BE3577"/>
    <w:rsid w:val="00BE378A"/>
    <w:rsid w:val="00BE4472"/>
    <w:rsid w:val="00BE648E"/>
    <w:rsid w:val="00BE7E67"/>
    <w:rsid w:val="00BF038F"/>
    <w:rsid w:val="00BF0680"/>
    <w:rsid w:val="00BF0951"/>
    <w:rsid w:val="00BF17FB"/>
    <w:rsid w:val="00BF184A"/>
    <w:rsid w:val="00BF1D4F"/>
    <w:rsid w:val="00BF1FDD"/>
    <w:rsid w:val="00BF3A00"/>
    <w:rsid w:val="00BF402A"/>
    <w:rsid w:val="00BF4E83"/>
    <w:rsid w:val="00BF6931"/>
    <w:rsid w:val="00BF7156"/>
    <w:rsid w:val="00BF79C5"/>
    <w:rsid w:val="00C0131F"/>
    <w:rsid w:val="00C016D8"/>
    <w:rsid w:val="00C016EE"/>
    <w:rsid w:val="00C01D63"/>
    <w:rsid w:val="00C02278"/>
    <w:rsid w:val="00C0238A"/>
    <w:rsid w:val="00C02AEE"/>
    <w:rsid w:val="00C02DE2"/>
    <w:rsid w:val="00C03202"/>
    <w:rsid w:val="00C03B67"/>
    <w:rsid w:val="00C03C08"/>
    <w:rsid w:val="00C03F8B"/>
    <w:rsid w:val="00C04406"/>
    <w:rsid w:val="00C046DA"/>
    <w:rsid w:val="00C04D26"/>
    <w:rsid w:val="00C062A6"/>
    <w:rsid w:val="00C06847"/>
    <w:rsid w:val="00C072FA"/>
    <w:rsid w:val="00C07C5E"/>
    <w:rsid w:val="00C1016B"/>
    <w:rsid w:val="00C10621"/>
    <w:rsid w:val="00C10A70"/>
    <w:rsid w:val="00C11B20"/>
    <w:rsid w:val="00C11B89"/>
    <w:rsid w:val="00C11EAF"/>
    <w:rsid w:val="00C123CB"/>
    <w:rsid w:val="00C139D3"/>
    <w:rsid w:val="00C14060"/>
    <w:rsid w:val="00C148BA"/>
    <w:rsid w:val="00C14B41"/>
    <w:rsid w:val="00C15700"/>
    <w:rsid w:val="00C15B8A"/>
    <w:rsid w:val="00C16F6D"/>
    <w:rsid w:val="00C1713B"/>
    <w:rsid w:val="00C20603"/>
    <w:rsid w:val="00C20E97"/>
    <w:rsid w:val="00C22F3E"/>
    <w:rsid w:val="00C24310"/>
    <w:rsid w:val="00C248CA"/>
    <w:rsid w:val="00C25021"/>
    <w:rsid w:val="00C25449"/>
    <w:rsid w:val="00C25FE0"/>
    <w:rsid w:val="00C263F1"/>
    <w:rsid w:val="00C26D27"/>
    <w:rsid w:val="00C275A9"/>
    <w:rsid w:val="00C27B51"/>
    <w:rsid w:val="00C27DCA"/>
    <w:rsid w:val="00C310C2"/>
    <w:rsid w:val="00C31563"/>
    <w:rsid w:val="00C316D4"/>
    <w:rsid w:val="00C31B41"/>
    <w:rsid w:val="00C32256"/>
    <w:rsid w:val="00C325E6"/>
    <w:rsid w:val="00C34800"/>
    <w:rsid w:val="00C34E04"/>
    <w:rsid w:val="00C353DC"/>
    <w:rsid w:val="00C35587"/>
    <w:rsid w:val="00C35604"/>
    <w:rsid w:val="00C35C27"/>
    <w:rsid w:val="00C3633F"/>
    <w:rsid w:val="00C3758F"/>
    <w:rsid w:val="00C40059"/>
    <w:rsid w:val="00C4057F"/>
    <w:rsid w:val="00C4063A"/>
    <w:rsid w:val="00C4099E"/>
    <w:rsid w:val="00C40F3D"/>
    <w:rsid w:val="00C4138F"/>
    <w:rsid w:val="00C414BF"/>
    <w:rsid w:val="00C421F1"/>
    <w:rsid w:val="00C42285"/>
    <w:rsid w:val="00C425C9"/>
    <w:rsid w:val="00C42D06"/>
    <w:rsid w:val="00C44711"/>
    <w:rsid w:val="00C44BBC"/>
    <w:rsid w:val="00C45BE7"/>
    <w:rsid w:val="00C463A2"/>
    <w:rsid w:val="00C468EA"/>
    <w:rsid w:val="00C47061"/>
    <w:rsid w:val="00C47A37"/>
    <w:rsid w:val="00C504E2"/>
    <w:rsid w:val="00C50ED5"/>
    <w:rsid w:val="00C516A2"/>
    <w:rsid w:val="00C51CD3"/>
    <w:rsid w:val="00C528DA"/>
    <w:rsid w:val="00C53CDF"/>
    <w:rsid w:val="00C54B0D"/>
    <w:rsid w:val="00C54D78"/>
    <w:rsid w:val="00C54F87"/>
    <w:rsid w:val="00C5508A"/>
    <w:rsid w:val="00C5552F"/>
    <w:rsid w:val="00C55EF4"/>
    <w:rsid w:val="00C56244"/>
    <w:rsid w:val="00C562D5"/>
    <w:rsid w:val="00C56D6D"/>
    <w:rsid w:val="00C572D5"/>
    <w:rsid w:val="00C576D4"/>
    <w:rsid w:val="00C576DC"/>
    <w:rsid w:val="00C57E6E"/>
    <w:rsid w:val="00C602C4"/>
    <w:rsid w:val="00C61756"/>
    <w:rsid w:val="00C62757"/>
    <w:rsid w:val="00C63ABD"/>
    <w:rsid w:val="00C64E6F"/>
    <w:rsid w:val="00C6623D"/>
    <w:rsid w:val="00C670FD"/>
    <w:rsid w:val="00C70260"/>
    <w:rsid w:val="00C70A5F"/>
    <w:rsid w:val="00C71383"/>
    <w:rsid w:val="00C713DF"/>
    <w:rsid w:val="00C71CA6"/>
    <w:rsid w:val="00C720F4"/>
    <w:rsid w:val="00C72165"/>
    <w:rsid w:val="00C72289"/>
    <w:rsid w:val="00C72CDF"/>
    <w:rsid w:val="00C73489"/>
    <w:rsid w:val="00C7389E"/>
    <w:rsid w:val="00C73B71"/>
    <w:rsid w:val="00C73CB5"/>
    <w:rsid w:val="00C750C9"/>
    <w:rsid w:val="00C751E8"/>
    <w:rsid w:val="00C75727"/>
    <w:rsid w:val="00C7680C"/>
    <w:rsid w:val="00C76F63"/>
    <w:rsid w:val="00C774DA"/>
    <w:rsid w:val="00C77716"/>
    <w:rsid w:val="00C77A57"/>
    <w:rsid w:val="00C8046A"/>
    <w:rsid w:val="00C80BA7"/>
    <w:rsid w:val="00C80F16"/>
    <w:rsid w:val="00C81B86"/>
    <w:rsid w:val="00C81F83"/>
    <w:rsid w:val="00C82241"/>
    <w:rsid w:val="00C822EF"/>
    <w:rsid w:val="00C839C4"/>
    <w:rsid w:val="00C84A2C"/>
    <w:rsid w:val="00C84B2C"/>
    <w:rsid w:val="00C84B91"/>
    <w:rsid w:val="00C8536D"/>
    <w:rsid w:val="00C853C9"/>
    <w:rsid w:val="00C860FE"/>
    <w:rsid w:val="00C86DFE"/>
    <w:rsid w:val="00C87A19"/>
    <w:rsid w:val="00C9166F"/>
    <w:rsid w:val="00C91724"/>
    <w:rsid w:val="00C923DA"/>
    <w:rsid w:val="00C93430"/>
    <w:rsid w:val="00C93ACE"/>
    <w:rsid w:val="00C9552F"/>
    <w:rsid w:val="00C95A16"/>
    <w:rsid w:val="00C963A4"/>
    <w:rsid w:val="00C9680D"/>
    <w:rsid w:val="00C96837"/>
    <w:rsid w:val="00C969B9"/>
    <w:rsid w:val="00C96D59"/>
    <w:rsid w:val="00C97233"/>
    <w:rsid w:val="00CA0B51"/>
    <w:rsid w:val="00CA24A5"/>
    <w:rsid w:val="00CA32CA"/>
    <w:rsid w:val="00CA3664"/>
    <w:rsid w:val="00CA3A92"/>
    <w:rsid w:val="00CA4875"/>
    <w:rsid w:val="00CA5369"/>
    <w:rsid w:val="00CA53E7"/>
    <w:rsid w:val="00CA598A"/>
    <w:rsid w:val="00CA6767"/>
    <w:rsid w:val="00CA6D10"/>
    <w:rsid w:val="00CA763F"/>
    <w:rsid w:val="00CA7704"/>
    <w:rsid w:val="00CA7AA2"/>
    <w:rsid w:val="00CB009E"/>
    <w:rsid w:val="00CB03DE"/>
    <w:rsid w:val="00CB0C2A"/>
    <w:rsid w:val="00CB1747"/>
    <w:rsid w:val="00CB187B"/>
    <w:rsid w:val="00CB1E37"/>
    <w:rsid w:val="00CB295C"/>
    <w:rsid w:val="00CB2F9E"/>
    <w:rsid w:val="00CB31DB"/>
    <w:rsid w:val="00CB3FD6"/>
    <w:rsid w:val="00CB450C"/>
    <w:rsid w:val="00CB46CE"/>
    <w:rsid w:val="00CB5BB4"/>
    <w:rsid w:val="00CB5D0C"/>
    <w:rsid w:val="00CB715A"/>
    <w:rsid w:val="00CC0CF0"/>
    <w:rsid w:val="00CC270E"/>
    <w:rsid w:val="00CC2B95"/>
    <w:rsid w:val="00CC3078"/>
    <w:rsid w:val="00CC39B8"/>
    <w:rsid w:val="00CC4144"/>
    <w:rsid w:val="00CC4374"/>
    <w:rsid w:val="00CC61F7"/>
    <w:rsid w:val="00CC652D"/>
    <w:rsid w:val="00CC7810"/>
    <w:rsid w:val="00CD27E1"/>
    <w:rsid w:val="00CD3118"/>
    <w:rsid w:val="00CD32F0"/>
    <w:rsid w:val="00CD33F4"/>
    <w:rsid w:val="00CD3526"/>
    <w:rsid w:val="00CD3AD9"/>
    <w:rsid w:val="00CD3CF3"/>
    <w:rsid w:val="00CD4816"/>
    <w:rsid w:val="00CD4BF8"/>
    <w:rsid w:val="00CD4EE0"/>
    <w:rsid w:val="00CD528F"/>
    <w:rsid w:val="00CD54D1"/>
    <w:rsid w:val="00CD5FE5"/>
    <w:rsid w:val="00CD626C"/>
    <w:rsid w:val="00CD6A76"/>
    <w:rsid w:val="00CD6AB2"/>
    <w:rsid w:val="00CE077B"/>
    <w:rsid w:val="00CE0850"/>
    <w:rsid w:val="00CE09E4"/>
    <w:rsid w:val="00CE0FA4"/>
    <w:rsid w:val="00CE148D"/>
    <w:rsid w:val="00CE1A4F"/>
    <w:rsid w:val="00CE2060"/>
    <w:rsid w:val="00CE3AD7"/>
    <w:rsid w:val="00CE4039"/>
    <w:rsid w:val="00CE5F1D"/>
    <w:rsid w:val="00CE6EF8"/>
    <w:rsid w:val="00CE72B7"/>
    <w:rsid w:val="00CF0728"/>
    <w:rsid w:val="00CF1255"/>
    <w:rsid w:val="00CF17E6"/>
    <w:rsid w:val="00CF2F44"/>
    <w:rsid w:val="00CF3057"/>
    <w:rsid w:val="00CF32F7"/>
    <w:rsid w:val="00CF34B8"/>
    <w:rsid w:val="00CF4574"/>
    <w:rsid w:val="00CF4AC9"/>
    <w:rsid w:val="00CF5DB1"/>
    <w:rsid w:val="00CF684F"/>
    <w:rsid w:val="00CF6B2D"/>
    <w:rsid w:val="00CF741A"/>
    <w:rsid w:val="00CF7668"/>
    <w:rsid w:val="00CF775C"/>
    <w:rsid w:val="00CF784F"/>
    <w:rsid w:val="00CF79E2"/>
    <w:rsid w:val="00D001D4"/>
    <w:rsid w:val="00D01125"/>
    <w:rsid w:val="00D013F5"/>
    <w:rsid w:val="00D01914"/>
    <w:rsid w:val="00D02F87"/>
    <w:rsid w:val="00D03986"/>
    <w:rsid w:val="00D04039"/>
    <w:rsid w:val="00D043F4"/>
    <w:rsid w:val="00D04414"/>
    <w:rsid w:val="00D05D11"/>
    <w:rsid w:val="00D05E55"/>
    <w:rsid w:val="00D0602C"/>
    <w:rsid w:val="00D06662"/>
    <w:rsid w:val="00D06902"/>
    <w:rsid w:val="00D10DFD"/>
    <w:rsid w:val="00D11533"/>
    <w:rsid w:val="00D11811"/>
    <w:rsid w:val="00D11D68"/>
    <w:rsid w:val="00D12437"/>
    <w:rsid w:val="00D137C1"/>
    <w:rsid w:val="00D1463A"/>
    <w:rsid w:val="00D14804"/>
    <w:rsid w:val="00D155FE"/>
    <w:rsid w:val="00D176EE"/>
    <w:rsid w:val="00D17C58"/>
    <w:rsid w:val="00D203F7"/>
    <w:rsid w:val="00D205FB"/>
    <w:rsid w:val="00D20D12"/>
    <w:rsid w:val="00D21363"/>
    <w:rsid w:val="00D213DE"/>
    <w:rsid w:val="00D21B44"/>
    <w:rsid w:val="00D21FBB"/>
    <w:rsid w:val="00D23DAB"/>
    <w:rsid w:val="00D244E3"/>
    <w:rsid w:val="00D25823"/>
    <w:rsid w:val="00D25F75"/>
    <w:rsid w:val="00D26335"/>
    <w:rsid w:val="00D279DA"/>
    <w:rsid w:val="00D3043B"/>
    <w:rsid w:val="00D30583"/>
    <w:rsid w:val="00D307D1"/>
    <w:rsid w:val="00D30DD1"/>
    <w:rsid w:val="00D30ECC"/>
    <w:rsid w:val="00D30F1D"/>
    <w:rsid w:val="00D31B20"/>
    <w:rsid w:val="00D3244D"/>
    <w:rsid w:val="00D3264B"/>
    <w:rsid w:val="00D33137"/>
    <w:rsid w:val="00D3356C"/>
    <w:rsid w:val="00D343B6"/>
    <w:rsid w:val="00D34462"/>
    <w:rsid w:val="00D345E3"/>
    <w:rsid w:val="00D35DB5"/>
    <w:rsid w:val="00D35F93"/>
    <w:rsid w:val="00D36161"/>
    <w:rsid w:val="00D36248"/>
    <w:rsid w:val="00D37442"/>
    <w:rsid w:val="00D37DD0"/>
    <w:rsid w:val="00D40CAC"/>
    <w:rsid w:val="00D40F37"/>
    <w:rsid w:val="00D411BF"/>
    <w:rsid w:val="00D41458"/>
    <w:rsid w:val="00D41748"/>
    <w:rsid w:val="00D41B15"/>
    <w:rsid w:val="00D41C21"/>
    <w:rsid w:val="00D41F9B"/>
    <w:rsid w:val="00D425BE"/>
    <w:rsid w:val="00D43196"/>
    <w:rsid w:val="00D437A4"/>
    <w:rsid w:val="00D445C6"/>
    <w:rsid w:val="00D44760"/>
    <w:rsid w:val="00D4476A"/>
    <w:rsid w:val="00D4569F"/>
    <w:rsid w:val="00D45A97"/>
    <w:rsid w:val="00D45C0B"/>
    <w:rsid w:val="00D460E0"/>
    <w:rsid w:val="00D46838"/>
    <w:rsid w:val="00D47377"/>
    <w:rsid w:val="00D47510"/>
    <w:rsid w:val="00D50068"/>
    <w:rsid w:val="00D50DDA"/>
    <w:rsid w:val="00D51503"/>
    <w:rsid w:val="00D518A6"/>
    <w:rsid w:val="00D526E1"/>
    <w:rsid w:val="00D52B6A"/>
    <w:rsid w:val="00D53160"/>
    <w:rsid w:val="00D53E79"/>
    <w:rsid w:val="00D53F15"/>
    <w:rsid w:val="00D5514B"/>
    <w:rsid w:val="00D55750"/>
    <w:rsid w:val="00D55C80"/>
    <w:rsid w:val="00D566C9"/>
    <w:rsid w:val="00D605D6"/>
    <w:rsid w:val="00D60AE7"/>
    <w:rsid w:val="00D60F3E"/>
    <w:rsid w:val="00D6187B"/>
    <w:rsid w:val="00D63CE1"/>
    <w:rsid w:val="00D63D18"/>
    <w:rsid w:val="00D640DA"/>
    <w:rsid w:val="00D646CE"/>
    <w:rsid w:val="00D6494C"/>
    <w:rsid w:val="00D64A3A"/>
    <w:rsid w:val="00D65557"/>
    <w:rsid w:val="00D65943"/>
    <w:rsid w:val="00D65AF5"/>
    <w:rsid w:val="00D6606D"/>
    <w:rsid w:val="00D7003B"/>
    <w:rsid w:val="00D709E8"/>
    <w:rsid w:val="00D7178E"/>
    <w:rsid w:val="00D73A84"/>
    <w:rsid w:val="00D74158"/>
    <w:rsid w:val="00D756EC"/>
    <w:rsid w:val="00D779D8"/>
    <w:rsid w:val="00D80492"/>
    <w:rsid w:val="00D810FB"/>
    <w:rsid w:val="00D81359"/>
    <w:rsid w:val="00D834CE"/>
    <w:rsid w:val="00D84238"/>
    <w:rsid w:val="00D844F1"/>
    <w:rsid w:val="00D845D6"/>
    <w:rsid w:val="00D84CBB"/>
    <w:rsid w:val="00D868B9"/>
    <w:rsid w:val="00D8724B"/>
    <w:rsid w:val="00D87F43"/>
    <w:rsid w:val="00D87F94"/>
    <w:rsid w:val="00D90A19"/>
    <w:rsid w:val="00D91EFB"/>
    <w:rsid w:val="00D92105"/>
    <w:rsid w:val="00D925C2"/>
    <w:rsid w:val="00D92B81"/>
    <w:rsid w:val="00D92BA1"/>
    <w:rsid w:val="00D92D92"/>
    <w:rsid w:val="00D92F13"/>
    <w:rsid w:val="00D932F8"/>
    <w:rsid w:val="00D939CF"/>
    <w:rsid w:val="00D93CDD"/>
    <w:rsid w:val="00D9405D"/>
    <w:rsid w:val="00D9408E"/>
    <w:rsid w:val="00D94BAF"/>
    <w:rsid w:val="00D94FAB"/>
    <w:rsid w:val="00D9529A"/>
    <w:rsid w:val="00D95866"/>
    <w:rsid w:val="00D9596C"/>
    <w:rsid w:val="00D95CE1"/>
    <w:rsid w:val="00D9603D"/>
    <w:rsid w:val="00D9629F"/>
    <w:rsid w:val="00D966F2"/>
    <w:rsid w:val="00D96D19"/>
    <w:rsid w:val="00D96D2F"/>
    <w:rsid w:val="00D971C1"/>
    <w:rsid w:val="00D977FA"/>
    <w:rsid w:val="00D97B53"/>
    <w:rsid w:val="00DA060B"/>
    <w:rsid w:val="00DA1277"/>
    <w:rsid w:val="00DA1F01"/>
    <w:rsid w:val="00DA203A"/>
    <w:rsid w:val="00DA2321"/>
    <w:rsid w:val="00DA29FA"/>
    <w:rsid w:val="00DA2B1B"/>
    <w:rsid w:val="00DA2F6B"/>
    <w:rsid w:val="00DA450D"/>
    <w:rsid w:val="00DA4E5E"/>
    <w:rsid w:val="00DA4FDA"/>
    <w:rsid w:val="00DA6479"/>
    <w:rsid w:val="00DA648D"/>
    <w:rsid w:val="00DA6929"/>
    <w:rsid w:val="00DA7479"/>
    <w:rsid w:val="00DA7A41"/>
    <w:rsid w:val="00DB0329"/>
    <w:rsid w:val="00DB03BE"/>
    <w:rsid w:val="00DB03FA"/>
    <w:rsid w:val="00DB0B34"/>
    <w:rsid w:val="00DB1A32"/>
    <w:rsid w:val="00DB1D6E"/>
    <w:rsid w:val="00DB2C5A"/>
    <w:rsid w:val="00DB2D19"/>
    <w:rsid w:val="00DB36DA"/>
    <w:rsid w:val="00DB560F"/>
    <w:rsid w:val="00DB5C2B"/>
    <w:rsid w:val="00DB6CEC"/>
    <w:rsid w:val="00DB75EB"/>
    <w:rsid w:val="00DB764E"/>
    <w:rsid w:val="00DB76C5"/>
    <w:rsid w:val="00DC19FB"/>
    <w:rsid w:val="00DC2542"/>
    <w:rsid w:val="00DC270D"/>
    <w:rsid w:val="00DC2CE4"/>
    <w:rsid w:val="00DC3686"/>
    <w:rsid w:val="00DC3DE2"/>
    <w:rsid w:val="00DC4615"/>
    <w:rsid w:val="00DC4C63"/>
    <w:rsid w:val="00DC5B67"/>
    <w:rsid w:val="00DC61D6"/>
    <w:rsid w:val="00DC684C"/>
    <w:rsid w:val="00DC68A8"/>
    <w:rsid w:val="00DD0406"/>
    <w:rsid w:val="00DD04AE"/>
    <w:rsid w:val="00DD0BDA"/>
    <w:rsid w:val="00DD1416"/>
    <w:rsid w:val="00DD2BC4"/>
    <w:rsid w:val="00DD2EDE"/>
    <w:rsid w:val="00DD346C"/>
    <w:rsid w:val="00DD5E7F"/>
    <w:rsid w:val="00DD6127"/>
    <w:rsid w:val="00DD614F"/>
    <w:rsid w:val="00DD64F7"/>
    <w:rsid w:val="00DD7159"/>
    <w:rsid w:val="00DD79D4"/>
    <w:rsid w:val="00DE0DDD"/>
    <w:rsid w:val="00DE0F9F"/>
    <w:rsid w:val="00DE165B"/>
    <w:rsid w:val="00DE1C95"/>
    <w:rsid w:val="00DE1CEE"/>
    <w:rsid w:val="00DE35DA"/>
    <w:rsid w:val="00DE3EED"/>
    <w:rsid w:val="00DE41EE"/>
    <w:rsid w:val="00DE4401"/>
    <w:rsid w:val="00DE47C0"/>
    <w:rsid w:val="00DE48C6"/>
    <w:rsid w:val="00DE4AA5"/>
    <w:rsid w:val="00DE523A"/>
    <w:rsid w:val="00DE573B"/>
    <w:rsid w:val="00DE5C0B"/>
    <w:rsid w:val="00DE5E1A"/>
    <w:rsid w:val="00DE6E92"/>
    <w:rsid w:val="00DE73A8"/>
    <w:rsid w:val="00DE7E26"/>
    <w:rsid w:val="00DE7E90"/>
    <w:rsid w:val="00DE7FCE"/>
    <w:rsid w:val="00DF0C45"/>
    <w:rsid w:val="00DF0F92"/>
    <w:rsid w:val="00DF1CAB"/>
    <w:rsid w:val="00DF1DD5"/>
    <w:rsid w:val="00DF2567"/>
    <w:rsid w:val="00DF2D8A"/>
    <w:rsid w:val="00DF40BE"/>
    <w:rsid w:val="00DF43DE"/>
    <w:rsid w:val="00DF450A"/>
    <w:rsid w:val="00DF54FD"/>
    <w:rsid w:val="00DF6CF7"/>
    <w:rsid w:val="00DF70CE"/>
    <w:rsid w:val="00DF76EF"/>
    <w:rsid w:val="00DF7809"/>
    <w:rsid w:val="00DF7F9C"/>
    <w:rsid w:val="00E00790"/>
    <w:rsid w:val="00E00E01"/>
    <w:rsid w:val="00E00FCB"/>
    <w:rsid w:val="00E012B9"/>
    <w:rsid w:val="00E01FD4"/>
    <w:rsid w:val="00E02223"/>
    <w:rsid w:val="00E034A3"/>
    <w:rsid w:val="00E05F16"/>
    <w:rsid w:val="00E06A68"/>
    <w:rsid w:val="00E06CD3"/>
    <w:rsid w:val="00E10352"/>
    <w:rsid w:val="00E118D9"/>
    <w:rsid w:val="00E11BA2"/>
    <w:rsid w:val="00E11FD5"/>
    <w:rsid w:val="00E1257A"/>
    <w:rsid w:val="00E131D3"/>
    <w:rsid w:val="00E13CB3"/>
    <w:rsid w:val="00E13CB5"/>
    <w:rsid w:val="00E13D0B"/>
    <w:rsid w:val="00E141D7"/>
    <w:rsid w:val="00E14E20"/>
    <w:rsid w:val="00E156C8"/>
    <w:rsid w:val="00E15D7A"/>
    <w:rsid w:val="00E161BF"/>
    <w:rsid w:val="00E16298"/>
    <w:rsid w:val="00E170F1"/>
    <w:rsid w:val="00E176B0"/>
    <w:rsid w:val="00E17714"/>
    <w:rsid w:val="00E17897"/>
    <w:rsid w:val="00E17BB4"/>
    <w:rsid w:val="00E17F23"/>
    <w:rsid w:val="00E20600"/>
    <w:rsid w:val="00E20738"/>
    <w:rsid w:val="00E208D9"/>
    <w:rsid w:val="00E20EF8"/>
    <w:rsid w:val="00E2160E"/>
    <w:rsid w:val="00E22300"/>
    <w:rsid w:val="00E23BD7"/>
    <w:rsid w:val="00E249F3"/>
    <w:rsid w:val="00E24A45"/>
    <w:rsid w:val="00E24EFE"/>
    <w:rsid w:val="00E24F32"/>
    <w:rsid w:val="00E25B1B"/>
    <w:rsid w:val="00E25B7F"/>
    <w:rsid w:val="00E26A48"/>
    <w:rsid w:val="00E27AD8"/>
    <w:rsid w:val="00E27BDC"/>
    <w:rsid w:val="00E27F42"/>
    <w:rsid w:val="00E30772"/>
    <w:rsid w:val="00E30845"/>
    <w:rsid w:val="00E311BD"/>
    <w:rsid w:val="00E3296A"/>
    <w:rsid w:val="00E33A57"/>
    <w:rsid w:val="00E350CD"/>
    <w:rsid w:val="00E359F5"/>
    <w:rsid w:val="00E37022"/>
    <w:rsid w:val="00E371D2"/>
    <w:rsid w:val="00E37574"/>
    <w:rsid w:val="00E375AA"/>
    <w:rsid w:val="00E37B51"/>
    <w:rsid w:val="00E400D5"/>
    <w:rsid w:val="00E40274"/>
    <w:rsid w:val="00E405B5"/>
    <w:rsid w:val="00E41832"/>
    <w:rsid w:val="00E4190D"/>
    <w:rsid w:val="00E4322B"/>
    <w:rsid w:val="00E433C1"/>
    <w:rsid w:val="00E4362E"/>
    <w:rsid w:val="00E4391F"/>
    <w:rsid w:val="00E4534E"/>
    <w:rsid w:val="00E45C9D"/>
    <w:rsid w:val="00E46442"/>
    <w:rsid w:val="00E474F3"/>
    <w:rsid w:val="00E47823"/>
    <w:rsid w:val="00E502AA"/>
    <w:rsid w:val="00E52246"/>
    <w:rsid w:val="00E52AE1"/>
    <w:rsid w:val="00E538A2"/>
    <w:rsid w:val="00E54EF0"/>
    <w:rsid w:val="00E551DE"/>
    <w:rsid w:val="00E55462"/>
    <w:rsid w:val="00E557C1"/>
    <w:rsid w:val="00E57B14"/>
    <w:rsid w:val="00E60462"/>
    <w:rsid w:val="00E6184A"/>
    <w:rsid w:val="00E61E32"/>
    <w:rsid w:val="00E63479"/>
    <w:rsid w:val="00E63A25"/>
    <w:rsid w:val="00E63CDB"/>
    <w:rsid w:val="00E646EF"/>
    <w:rsid w:val="00E648C2"/>
    <w:rsid w:val="00E64967"/>
    <w:rsid w:val="00E66795"/>
    <w:rsid w:val="00E66D47"/>
    <w:rsid w:val="00E66EF9"/>
    <w:rsid w:val="00E674C6"/>
    <w:rsid w:val="00E678B6"/>
    <w:rsid w:val="00E67A41"/>
    <w:rsid w:val="00E67E75"/>
    <w:rsid w:val="00E70862"/>
    <w:rsid w:val="00E70A50"/>
    <w:rsid w:val="00E70F3C"/>
    <w:rsid w:val="00E71338"/>
    <w:rsid w:val="00E715E8"/>
    <w:rsid w:val="00E71A25"/>
    <w:rsid w:val="00E71CA9"/>
    <w:rsid w:val="00E72167"/>
    <w:rsid w:val="00E72FBD"/>
    <w:rsid w:val="00E73484"/>
    <w:rsid w:val="00E73640"/>
    <w:rsid w:val="00E74102"/>
    <w:rsid w:val="00E743E7"/>
    <w:rsid w:val="00E74E11"/>
    <w:rsid w:val="00E753D6"/>
    <w:rsid w:val="00E75651"/>
    <w:rsid w:val="00E75B4D"/>
    <w:rsid w:val="00E762A2"/>
    <w:rsid w:val="00E76780"/>
    <w:rsid w:val="00E8026A"/>
    <w:rsid w:val="00E80D06"/>
    <w:rsid w:val="00E8143D"/>
    <w:rsid w:val="00E81635"/>
    <w:rsid w:val="00E81647"/>
    <w:rsid w:val="00E81822"/>
    <w:rsid w:val="00E81836"/>
    <w:rsid w:val="00E82CA0"/>
    <w:rsid w:val="00E83060"/>
    <w:rsid w:val="00E86027"/>
    <w:rsid w:val="00E86B56"/>
    <w:rsid w:val="00E86B60"/>
    <w:rsid w:val="00E86E9C"/>
    <w:rsid w:val="00E878E0"/>
    <w:rsid w:val="00E87DE6"/>
    <w:rsid w:val="00E90408"/>
    <w:rsid w:val="00E91699"/>
    <w:rsid w:val="00E92A92"/>
    <w:rsid w:val="00E936E9"/>
    <w:rsid w:val="00E93C24"/>
    <w:rsid w:val="00E93E84"/>
    <w:rsid w:val="00E93FD3"/>
    <w:rsid w:val="00E9676C"/>
    <w:rsid w:val="00E9684C"/>
    <w:rsid w:val="00E96BC5"/>
    <w:rsid w:val="00EA02A9"/>
    <w:rsid w:val="00EA16FD"/>
    <w:rsid w:val="00EA2024"/>
    <w:rsid w:val="00EA21A5"/>
    <w:rsid w:val="00EA23D7"/>
    <w:rsid w:val="00EA288B"/>
    <w:rsid w:val="00EA2FE1"/>
    <w:rsid w:val="00EA31FE"/>
    <w:rsid w:val="00EA33BC"/>
    <w:rsid w:val="00EA3D2B"/>
    <w:rsid w:val="00EA3DA2"/>
    <w:rsid w:val="00EA4151"/>
    <w:rsid w:val="00EA4169"/>
    <w:rsid w:val="00EA4DFB"/>
    <w:rsid w:val="00EA6176"/>
    <w:rsid w:val="00EA6CBF"/>
    <w:rsid w:val="00EA7F3F"/>
    <w:rsid w:val="00EB0467"/>
    <w:rsid w:val="00EB0E72"/>
    <w:rsid w:val="00EB2539"/>
    <w:rsid w:val="00EB320D"/>
    <w:rsid w:val="00EB37D2"/>
    <w:rsid w:val="00EB387E"/>
    <w:rsid w:val="00EB3BF0"/>
    <w:rsid w:val="00EB3FF1"/>
    <w:rsid w:val="00EB637A"/>
    <w:rsid w:val="00EB678D"/>
    <w:rsid w:val="00EB6E97"/>
    <w:rsid w:val="00EB7FCF"/>
    <w:rsid w:val="00EC1152"/>
    <w:rsid w:val="00EC181F"/>
    <w:rsid w:val="00EC2EB8"/>
    <w:rsid w:val="00EC3826"/>
    <w:rsid w:val="00EC3F4E"/>
    <w:rsid w:val="00EC7922"/>
    <w:rsid w:val="00ED0895"/>
    <w:rsid w:val="00ED0A55"/>
    <w:rsid w:val="00ED161B"/>
    <w:rsid w:val="00ED287A"/>
    <w:rsid w:val="00ED3436"/>
    <w:rsid w:val="00ED3523"/>
    <w:rsid w:val="00ED414A"/>
    <w:rsid w:val="00ED50F8"/>
    <w:rsid w:val="00ED511E"/>
    <w:rsid w:val="00ED5791"/>
    <w:rsid w:val="00ED611B"/>
    <w:rsid w:val="00ED61FE"/>
    <w:rsid w:val="00ED6A10"/>
    <w:rsid w:val="00EE111B"/>
    <w:rsid w:val="00EE1180"/>
    <w:rsid w:val="00EE1ECE"/>
    <w:rsid w:val="00EE2ACB"/>
    <w:rsid w:val="00EE2C55"/>
    <w:rsid w:val="00EE2D14"/>
    <w:rsid w:val="00EE31A8"/>
    <w:rsid w:val="00EE33A2"/>
    <w:rsid w:val="00EE34AA"/>
    <w:rsid w:val="00EE3F4F"/>
    <w:rsid w:val="00EE506B"/>
    <w:rsid w:val="00EE5471"/>
    <w:rsid w:val="00EE569E"/>
    <w:rsid w:val="00EE6652"/>
    <w:rsid w:val="00EE6994"/>
    <w:rsid w:val="00EE6D57"/>
    <w:rsid w:val="00EE6FD8"/>
    <w:rsid w:val="00EF18BE"/>
    <w:rsid w:val="00EF1A70"/>
    <w:rsid w:val="00EF2102"/>
    <w:rsid w:val="00EF29BA"/>
    <w:rsid w:val="00EF33FA"/>
    <w:rsid w:val="00EF3BAD"/>
    <w:rsid w:val="00EF4A03"/>
    <w:rsid w:val="00EF4D7C"/>
    <w:rsid w:val="00EF4D85"/>
    <w:rsid w:val="00EF584E"/>
    <w:rsid w:val="00EF5B83"/>
    <w:rsid w:val="00F01489"/>
    <w:rsid w:val="00F0210C"/>
    <w:rsid w:val="00F0282A"/>
    <w:rsid w:val="00F02883"/>
    <w:rsid w:val="00F02F5A"/>
    <w:rsid w:val="00F02F99"/>
    <w:rsid w:val="00F03632"/>
    <w:rsid w:val="00F03997"/>
    <w:rsid w:val="00F03C78"/>
    <w:rsid w:val="00F0443F"/>
    <w:rsid w:val="00F04FE6"/>
    <w:rsid w:val="00F05BA7"/>
    <w:rsid w:val="00F0617C"/>
    <w:rsid w:val="00F06AA8"/>
    <w:rsid w:val="00F06EB0"/>
    <w:rsid w:val="00F100D5"/>
    <w:rsid w:val="00F1031F"/>
    <w:rsid w:val="00F10FA9"/>
    <w:rsid w:val="00F1118E"/>
    <w:rsid w:val="00F11376"/>
    <w:rsid w:val="00F11496"/>
    <w:rsid w:val="00F11FDB"/>
    <w:rsid w:val="00F12231"/>
    <w:rsid w:val="00F160E3"/>
    <w:rsid w:val="00F166E3"/>
    <w:rsid w:val="00F16978"/>
    <w:rsid w:val="00F17514"/>
    <w:rsid w:val="00F175C8"/>
    <w:rsid w:val="00F2194E"/>
    <w:rsid w:val="00F22A43"/>
    <w:rsid w:val="00F22F54"/>
    <w:rsid w:val="00F240C9"/>
    <w:rsid w:val="00F265C8"/>
    <w:rsid w:val="00F269BB"/>
    <w:rsid w:val="00F274A6"/>
    <w:rsid w:val="00F27892"/>
    <w:rsid w:val="00F27C94"/>
    <w:rsid w:val="00F30821"/>
    <w:rsid w:val="00F308BC"/>
    <w:rsid w:val="00F30BED"/>
    <w:rsid w:val="00F31251"/>
    <w:rsid w:val="00F31774"/>
    <w:rsid w:val="00F31C0A"/>
    <w:rsid w:val="00F3403D"/>
    <w:rsid w:val="00F34414"/>
    <w:rsid w:val="00F34641"/>
    <w:rsid w:val="00F346AD"/>
    <w:rsid w:val="00F34FA9"/>
    <w:rsid w:val="00F359B2"/>
    <w:rsid w:val="00F35AFF"/>
    <w:rsid w:val="00F35BEA"/>
    <w:rsid w:val="00F35EFE"/>
    <w:rsid w:val="00F361B1"/>
    <w:rsid w:val="00F36B04"/>
    <w:rsid w:val="00F374A5"/>
    <w:rsid w:val="00F37517"/>
    <w:rsid w:val="00F4038F"/>
    <w:rsid w:val="00F41EFC"/>
    <w:rsid w:val="00F42566"/>
    <w:rsid w:val="00F42C81"/>
    <w:rsid w:val="00F4319A"/>
    <w:rsid w:val="00F44170"/>
    <w:rsid w:val="00F4427F"/>
    <w:rsid w:val="00F44DB2"/>
    <w:rsid w:val="00F4537B"/>
    <w:rsid w:val="00F45759"/>
    <w:rsid w:val="00F45A7B"/>
    <w:rsid w:val="00F4786D"/>
    <w:rsid w:val="00F47ED1"/>
    <w:rsid w:val="00F50430"/>
    <w:rsid w:val="00F5127B"/>
    <w:rsid w:val="00F5185C"/>
    <w:rsid w:val="00F5205D"/>
    <w:rsid w:val="00F52286"/>
    <w:rsid w:val="00F53780"/>
    <w:rsid w:val="00F54811"/>
    <w:rsid w:val="00F55143"/>
    <w:rsid w:val="00F551EF"/>
    <w:rsid w:val="00F55285"/>
    <w:rsid w:val="00F5581D"/>
    <w:rsid w:val="00F55B01"/>
    <w:rsid w:val="00F565C4"/>
    <w:rsid w:val="00F56E73"/>
    <w:rsid w:val="00F576BE"/>
    <w:rsid w:val="00F57D10"/>
    <w:rsid w:val="00F6031E"/>
    <w:rsid w:val="00F60B45"/>
    <w:rsid w:val="00F6143E"/>
    <w:rsid w:val="00F61B4F"/>
    <w:rsid w:val="00F6383E"/>
    <w:rsid w:val="00F63C36"/>
    <w:rsid w:val="00F63D55"/>
    <w:rsid w:val="00F63D5E"/>
    <w:rsid w:val="00F64098"/>
    <w:rsid w:val="00F64454"/>
    <w:rsid w:val="00F6469B"/>
    <w:rsid w:val="00F661E5"/>
    <w:rsid w:val="00F66C72"/>
    <w:rsid w:val="00F66CDD"/>
    <w:rsid w:val="00F66EB2"/>
    <w:rsid w:val="00F671AE"/>
    <w:rsid w:val="00F67DAF"/>
    <w:rsid w:val="00F7050A"/>
    <w:rsid w:val="00F70DBD"/>
    <w:rsid w:val="00F71255"/>
    <w:rsid w:val="00F714BC"/>
    <w:rsid w:val="00F7216F"/>
    <w:rsid w:val="00F73301"/>
    <w:rsid w:val="00F73AA7"/>
    <w:rsid w:val="00F74827"/>
    <w:rsid w:val="00F75268"/>
    <w:rsid w:val="00F76404"/>
    <w:rsid w:val="00F76C7E"/>
    <w:rsid w:val="00F76F04"/>
    <w:rsid w:val="00F7725B"/>
    <w:rsid w:val="00F77270"/>
    <w:rsid w:val="00F77466"/>
    <w:rsid w:val="00F8078D"/>
    <w:rsid w:val="00F82A53"/>
    <w:rsid w:val="00F83032"/>
    <w:rsid w:val="00F836FB"/>
    <w:rsid w:val="00F83C51"/>
    <w:rsid w:val="00F83D87"/>
    <w:rsid w:val="00F8476B"/>
    <w:rsid w:val="00F849A8"/>
    <w:rsid w:val="00F849E7"/>
    <w:rsid w:val="00F84FE4"/>
    <w:rsid w:val="00F86243"/>
    <w:rsid w:val="00F863FE"/>
    <w:rsid w:val="00F87956"/>
    <w:rsid w:val="00F90915"/>
    <w:rsid w:val="00F91662"/>
    <w:rsid w:val="00F9195D"/>
    <w:rsid w:val="00F91AC8"/>
    <w:rsid w:val="00F92377"/>
    <w:rsid w:val="00F92A12"/>
    <w:rsid w:val="00F92ECC"/>
    <w:rsid w:val="00F93CF1"/>
    <w:rsid w:val="00F93D50"/>
    <w:rsid w:val="00F9404E"/>
    <w:rsid w:val="00F946B6"/>
    <w:rsid w:val="00F95152"/>
    <w:rsid w:val="00F95A62"/>
    <w:rsid w:val="00F97C4C"/>
    <w:rsid w:val="00F97DEE"/>
    <w:rsid w:val="00F97DFB"/>
    <w:rsid w:val="00FA25DE"/>
    <w:rsid w:val="00FA2E5F"/>
    <w:rsid w:val="00FA3A62"/>
    <w:rsid w:val="00FA3B7E"/>
    <w:rsid w:val="00FA3C26"/>
    <w:rsid w:val="00FA4460"/>
    <w:rsid w:val="00FA5351"/>
    <w:rsid w:val="00FA5AC4"/>
    <w:rsid w:val="00FA60B8"/>
    <w:rsid w:val="00FA6DBC"/>
    <w:rsid w:val="00FB0FC0"/>
    <w:rsid w:val="00FB13A7"/>
    <w:rsid w:val="00FB17AD"/>
    <w:rsid w:val="00FB2BA5"/>
    <w:rsid w:val="00FB3347"/>
    <w:rsid w:val="00FB45B9"/>
    <w:rsid w:val="00FB5094"/>
    <w:rsid w:val="00FB52B4"/>
    <w:rsid w:val="00FB52E5"/>
    <w:rsid w:val="00FB5DD3"/>
    <w:rsid w:val="00FB5FDB"/>
    <w:rsid w:val="00FB64EF"/>
    <w:rsid w:val="00FB687D"/>
    <w:rsid w:val="00FB74A9"/>
    <w:rsid w:val="00FC02DC"/>
    <w:rsid w:val="00FC0DCC"/>
    <w:rsid w:val="00FC142B"/>
    <w:rsid w:val="00FC17F5"/>
    <w:rsid w:val="00FC1E48"/>
    <w:rsid w:val="00FC2A1B"/>
    <w:rsid w:val="00FC3CFC"/>
    <w:rsid w:val="00FC4DAC"/>
    <w:rsid w:val="00FC53A2"/>
    <w:rsid w:val="00FC61EF"/>
    <w:rsid w:val="00FD0E84"/>
    <w:rsid w:val="00FD0FEA"/>
    <w:rsid w:val="00FD1078"/>
    <w:rsid w:val="00FD1464"/>
    <w:rsid w:val="00FD1AFA"/>
    <w:rsid w:val="00FD279A"/>
    <w:rsid w:val="00FD2AC6"/>
    <w:rsid w:val="00FD32D7"/>
    <w:rsid w:val="00FD44E0"/>
    <w:rsid w:val="00FD45F5"/>
    <w:rsid w:val="00FD4A5D"/>
    <w:rsid w:val="00FD5167"/>
    <w:rsid w:val="00FD577B"/>
    <w:rsid w:val="00FD5E1A"/>
    <w:rsid w:val="00FD623A"/>
    <w:rsid w:val="00FD6416"/>
    <w:rsid w:val="00FD75B2"/>
    <w:rsid w:val="00FD7F46"/>
    <w:rsid w:val="00FE06DB"/>
    <w:rsid w:val="00FE12C7"/>
    <w:rsid w:val="00FE26A0"/>
    <w:rsid w:val="00FE2BAE"/>
    <w:rsid w:val="00FE3C88"/>
    <w:rsid w:val="00FE532F"/>
    <w:rsid w:val="00FE5411"/>
    <w:rsid w:val="00FE6DE9"/>
    <w:rsid w:val="00FE71BC"/>
    <w:rsid w:val="00FE78B3"/>
    <w:rsid w:val="00FE79C6"/>
    <w:rsid w:val="00FE7F4A"/>
    <w:rsid w:val="00FF07C3"/>
    <w:rsid w:val="00FF0C6F"/>
    <w:rsid w:val="00FF15C7"/>
    <w:rsid w:val="00FF1A6B"/>
    <w:rsid w:val="00FF2581"/>
    <w:rsid w:val="00FF2EDE"/>
    <w:rsid w:val="00FF38D6"/>
    <w:rsid w:val="00FF40D3"/>
    <w:rsid w:val="00FF42DD"/>
    <w:rsid w:val="00FF4605"/>
    <w:rsid w:val="00FF48BD"/>
    <w:rsid w:val="00FF4BF6"/>
    <w:rsid w:val="00FF59C2"/>
    <w:rsid w:val="00FF59C4"/>
    <w:rsid w:val="00FF720D"/>
    <w:rsid w:val="00FF72A1"/>
    <w:rsid w:val="00FF79C9"/>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7D84C"/>
  <w15:docId w15:val="{AEAE0996-BBD3-4576-ACD1-EB9A098E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6B"/>
    <w:pPr>
      <w:spacing w:after="120"/>
      <w:jc w:val="both"/>
    </w:pPr>
    <w:rPr>
      <w:rFonts w:ascii="Arial" w:hAnsi="Arial"/>
      <w:sz w:val="22"/>
      <w:szCs w:val="22"/>
      <w:lang w:eastAsia="hr-HR"/>
    </w:rPr>
  </w:style>
  <w:style w:type="paragraph" w:styleId="Heading1">
    <w:name w:val="heading 1"/>
    <w:basedOn w:val="Normal"/>
    <w:next w:val="Normal"/>
    <w:link w:val="Heading1Char"/>
    <w:uiPriority w:val="99"/>
    <w:qFormat/>
    <w:rsid w:val="00AE2CC8"/>
    <w:pPr>
      <w:keepNext/>
      <w:pageBreakBefore/>
      <w:numPr>
        <w:numId w:val="5"/>
      </w:numPr>
      <w:spacing w:before="240"/>
      <w:jc w:val="left"/>
      <w:outlineLvl w:val="0"/>
    </w:pPr>
    <w:rPr>
      <w:rFonts w:ascii="Arial Bold" w:hAnsi="Arial Bold" w:cs="Arial"/>
      <w:b/>
      <w:caps/>
      <w:color w:val="002776" w:themeColor="accent1"/>
      <w:sz w:val="28"/>
      <w:szCs w:val="24"/>
      <w:lang w:eastAsia="en-US"/>
    </w:rPr>
  </w:style>
  <w:style w:type="paragraph" w:styleId="Heading2">
    <w:name w:val="heading 2"/>
    <w:basedOn w:val="Heading4"/>
    <w:next w:val="Normal"/>
    <w:link w:val="Heading2Char"/>
    <w:autoRedefine/>
    <w:uiPriority w:val="99"/>
    <w:qFormat/>
    <w:rsid w:val="000A4DD2"/>
    <w:pPr>
      <w:keepNext/>
      <w:keepLines/>
      <w:numPr>
        <w:ilvl w:val="1"/>
      </w:numPr>
      <w:tabs>
        <w:tab w:val="left" w:pos="720"/>
        <w:tab w:val="left" w:pos="810"/>
      </w:tabs>
      <w:spacing w:before="240" w:after="240"/>
      <w:outlineLvl w:val="1"/>
    </w:pPr>
    <w:rPr>
      <w:b w:val="0"/>
      <w:bCs/>
      <w:color w:val="4F81BD"/>
      <w:sz w:val="24"/>
    </w:rPr>
  </w:style>
  <w:style w:type="paragraph" w:styleId="Heading3">
    <w:name w:val="heading 3"/>
    <w:basedOn w:val="ListParagraph"/>
    <w:next w:val="Normal"/>
    <w:link w:val="Heading3Char"/>
    <w:uiPriority w:val="99"/>
    <w:qFormat/>
    <w:rsid w:val="00095DC1"/>
    <w:pPr>
      <w:numPr>
        <w:ilvl w:val="2"/>
        <w:numId w:val="5"/>
      </w:numPr>
      <w:outlineLvl w:val="2"/>
    </w:pPr>
    <w:rPr>
      <w:rFonts w:cs="Arial"/>
      <w:b/>
      <w:color w:val="002776" w:themeColor="accent1"/>
      <w:szCs w:val="24"/>
      <w:lang w:eastAsia="en-US"/>
    </w:rPr>
  </w:style>
  <w:style w:type="paragraph" w:styleId="Heading4">
    <w:name w:val="heading 4"/>
    <w:basedOn w:val="Heading3"/>
    <w:next w:val="Normal"/>
    <w:link w:val="Heading4Char"/>
    <w:unhideWhenUsed/>
    <w:qFormat/>
    <w:locked/>
    <w:rsid w:val="00BD2B6C"/>
    <w:pPr>
      <w:numPr>
        <w:ilvl w:val="3"/>
      </w:numPr>
      <w:outlineLvl w:val="3"/>
    </w:pPr>
    <w:rPr>
      <w:color w:val="28A9DA" w:themeColor="background2" w:themeShade="BF"/>
    </w:rPr>
  </w:style>
  <w:style w:type="paragraph" w:styleId="Heading5">
    <w:name w:val="heading 5"/>
    <w:basedOn w:val="Heading4"/>
    <w:next w:val="Normal"/>
    <w:link w:val="Heading5Char"/>
    <w:unhideWhenUsed/>
    <w:qFormat/>
    <w:locked/>
    <w:rsid w:val="00BD2B6C"/>
    <w:pPr>
      <w:numPr>
        <w:ilvl w:val="4"/>
      </w:numPr>
      <w:ind w:left="1440" w:hanging="1440"/>
      <w:outlineLvl w:val="4"/>
    </w:pPr>
    <w:rPr>
      <w:color w:val="92D4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2CC8"/>
    <w:rPr>
      <w:rFonts w:ascii="Arial Bold" w:hAnsi="Arial Bold" w:cs="Arial"/>
      <w:b/>
      <w:caps/>
      <w:color w:val="002776" w:themeColor="accent1"/>
      <w:sz w:val="28"/>
      <w:szCs w:val="24"/>
    </w:rPr>
  </w:style>
  <w:style w:type="character" w:customStyle="1" w:styleId="Heading2Char">
    <w:name w:val="Heading 2 Char"/>
    <w:basedOn w:val="DefaultParagraphFont"/>
    <w:link w:val="Heading2"/>
    <w:uiPriority w:val="99"/>
    <w:locked/>
    <w:rsid w:val="000A4DD2"/>
    <w:rPr>
      <w:rFonts w:ascii="Arial" w:hAnsi="Arial" w:cs="Arial"/>
      <w:bCs/>
      <w:color w:val="4F81BD"/>
      <w:sz w:val="24"/>
      <w:szCs w:val="24"/>
    </w:rPr>
  </w:style>
  <w:style w:type="character" w:customStyle="1" w:styleId="Heading3Char">
    <w:name w:val="Heading 3 Char"/>
    <w:basedOn w:val="DefaultParagraphFont"/>
    <w:link w:val="Heading3"/>
    <w:uiPriority w:val="99"/>
    <w:locked/>
    <w:rsid w:val="00095DC1"/>
    <w:rPr>
      <w:rFonts w:ascii="Arial" w:hAnsi="Arial" w:cs="Arial"/>
      <w:b/>
      <w:color w:val="002776" w:themeColor="accent1"/>
      <w:sz w:val="22"/>
      <w:szCs w:val="24"/>
    </w:rPr>
  </w:style>
  <w:style w:type="paragraph" w:customStyle="1" w:styleId="Default">
    <w:name w:val="Default"/>
    <w:rsid w:val="00BB36F8"/>
    <w:pPr>
      <w:autoSpaceDE w:val="0"/>
      <w:autoSpaceDN w:val="0"/>
      <w:adjustRightInd w:val="0"/>
    </w:pPr>
    <w:rPr>
      <w:rFonts w:ascii="Times New Roman" w:hAnsi="Times New Roman"/>
      <w:color w:val="000000"/>
      <w:sz w:val="24"/>
      <w:szCs w:val="24"/>
      <w:lang w:val="hr-HR"/>
    </w:rPr>
  </w:style>
  <w:style w:type="paragraph" w:styleId="FootnoteText">
    <w:name w:val="footnote text"/>
    <w:basedOn w:val="Normal"/>
    <w:link w:val="FootnoteTextChar"/>
    <w:uiPriority w:val="99"/>
    <w:semiHidden/>
    <w:rsid w:val="004B77D4"/>
    <w:rPr>
      <w:sz w:val="20"/>
      <w:szCs w:val="20"/>
    </w:rPr>
  </w:style>
  <w:style w:type="character" w:customStyle="1" w:styleId="FootnoteTextChar">
    <w:name w:val="Footnote Text Char"/>
    <w:basedOn w:val="DefaultParagraphFont"/>
    <w:link w:val="FootnoteText"/>
    <w:uiPriority w:val="99"/>
    <w:semiHidden/>
    <w:locked/>
    <w:rsid w:val="004B77D4"/>
    <w:rPr>
      <w:rFonts w:cs="Times New Roman"/>
      <w:sz w:val="20"/>
      <w:szCs w:val="20"/>
    </w:rPr>
  </w:style>
  <w:style w:type="character" w:styleId="FootnoteReference">
    <w:name w:val="footnote reference"/>
    <w:basedOn w:val="DefaultParagraphFont"/>
    <w:uiPriority w:val="99"/>
    <w:rsid w:val="004B77D4"/>
    <w:rPr>
      <w:rFonts w:cs="Times New Roman"/>
      <w:vertAlign w:val="superscript"/>
    </w:rPr>
  </w:style>
  <w:style w:type="paragraph" w:customStyle="1" w:styleId="bodytext1">
    <w:name w:val="bodytext1"/>
    <w:basedOn w:val="Normal"/>
    <w:uiPriority w:val="99"/>
    <w:rsid w:val="00035194"/>
    <w:pPr>
      <w:spacing w:after="0" w:line="335" w:lineRule="atLeast"/>
    </w:pPr>
    <w:rPr>
      <w:rFonts w:ascii="Times New Roman" w:hAnsi="Times New Roman"/>
      <w:color w:val="49565E"/>
      <w:lang w:eastAsia="en-US"/>
    </w:rPr>
  </w:style>
  <w:style w:type="character" w:styleId="Hyperlink">
    <w:name w:val="Hyperlink"/>
    <w:basedOn w:val="DefaultParagraphFont"/>
    <w:uiPriority w:val="99"/>
    <w:rsid w:val="004E1163"/>
    <w:rPr>
      <w:rFonts w:cs="Times New Roman"/>
      <w:color w:val="0000FF"/>
      <w:u w:val="single"/>
    </w:rPr>
  </w:style>
  <w:style w:type="paragraph" w:styleId="BalloonText">
    <w:name w:val="Balloon Text"/>
    <w:basedOn w:val="Normal"/>
    <w:link w:val="BalloonTextChar"/>
    <w:uiPriority w:val="99"/>
    <w:semiHidden/>
    <w:rsid w:val="00721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AD0"/>
    <w:rPr>
      <w:rFonts w:ascii="Tahoma" w:hAnsi="Tahoma" w:cs="Tahoma"/>
      <w:sz w:val="16"/>
      <w:szCs w:val="16"/>
      <w:lang w:val="hr-HR" w:eastAsia="hr-HR"/>
    </w:rPr>
  </w:style>
  <w:style w:type="paragraph" w:styleId="Header">
    <w:name w:val="header"/>
    <w:basedOn w:val="Normal"/>
    <w:link w:val="HeaderChar"/>
    <w:uiPriority w:val="99"/>
    <w:rsid w:val="00DB1A32"/>
    <w:pPr>
      <w:tabs>
        <w:tab w:val="center" w:pos="4536"/>
        <w:tab w:val="right" w:pos="9072"/>
      </w:tabs>
      <w:spacing w:after="0"/>
    </w:pPr>
  </w:style>
  <w:style w:type="character" w:customStyle="1" w:styleId="HeaderChar">
    <w:name w:val="Header Char"/>
    <w:basedOn w:val="DefaultParagraphFont"/>
    <w:link w:val="Header"/>
    <w:uiPriority w:val="99"/>
    <w:locked/>
    <w:rsid w:val="00DB1A32"/>
    <w:rPr>
      <w:rFonts w:cs="Times New Roman"/>
      <w:lang w:val="hr-HR" w:eastAsia="hr-HR"/>
    </w:rPr>
  </w:style>
  <w:style w:type="paragraph" w:styleId="Footer">
    <w:name w:val="footer"/>
    <w:basedOn w:val="Normal"/>
    <w:link w:val="FooterChar"/>
    <w:uiPriority w:val="99"/>
    <w:rsid w:val="00DB1A32"/>
    <w:pPr>
      <w:tabs>
        <w:tab w:val="center" w:pos="4536"/>
        <w:tab w:val="right" w:pos="9072"/>
      </w:tabs>
      <w:spacing w:after="0"/>
    </w:pPr>
  </w:style>
  <w:style w:type="character" w:customStyle="1" w:styleId="FooterChar">
    <w:name w:val="Footer Char"/>
    <w:basedOn w:val="DefaultParagraphFont"/>
    <w:link w:val="Footer"/>
    <w:uiPriority w:val="99"/>
    <w:locked/>
    <w:rsid w:val="00DB1A32"/>
    <w:rPr>
      <w:rFonts w:cs="Times New Roman"/>
      <w:lang w:val="hr-HR" w:eastAsia="hr-HR"/>
    </w:rPr>
  </w:style>
  <w:style w:type="paragraph" w:styleId="NoSpacing">
    <w:name w:val="No Spacing"/>
    <w:uiPriority w:val="99"/>
    <w:qFormat/>
    <w:rsid w:val="00DB1A32"/>
    <w:rPr>
      <w:sz w:val="22"/>
      <w:szCs w:val="22"/>
      <w:lang w:val="hr-HR" w:eastAsia="hr-HR"/>
    </w:rPr>
  </w:style>
  <w:style w:type="paragraph" w:styleId="TOCHeading">
    <w:name w:val="TOC Heading"/>
    <w:basedOn w:val="Heading1"/>
    <w:next w:val="Normal"/>
    <w:uiPriority w:val="39"/>
    <w:qFormat/>
    <w:rsid w:val="00BF184A"/>
    <w:pPr>
      <w:keepLines/>
      <w:spacing w:before="480" w:after="0"/>
      <w:outlineLvl w:val="9"/>
    </w:pPr>
    <w:rPr>
      <w:rFonts w:ascii="Cambria" w:hAnsi="Cambria"/>
      <w:bCs/>
      <w:color w:val="365F91"/>
      <w:szCs w:val="28"/>
    </w:rPr>
  </w:style>
  <w:style w:type="paragraph" w:styleId="TOC1">
    <w:name w:val="toc 1"/>
    <w:basedOn w:val="Normal"/>
    <w:next w:val="Normal"/>
    <w:autoRedefine/>
    <w:uiPriority w:val="39"/>
    <w:rsid w:val="00AE77EC"/>
    <w:pPr>
      <w:tabs>
        <w:tab w:val="left" w:pos="360"/>
        <w:tab w:val="right" w:pos="9360"/>
      </w:tabs>
      <w:spacing w:before="40" w:after="40"/>
      <w:ind w:left="360" w:hanging="360"/>
    </w:pPr>
    <w:rPr>
      <w:rFonts w:cs="Calibri"/>
      <w:b/>
      <w:bCs/>
      <w:caps/>
      <w:noProof/>
      <w:color w:val="002776" w:themeColor="accent1"/>
      <w:sz w:val="20"/>
      <w:szCs w:val="20"/>
    </w:rPr>
  </w:style>
  <w:style w:type="paragraph" w:styleId="CommentText">
    <w:name w:val="annotation text"/>
    <w:basedOn w:val="Normal"/>
    <w:link w:val="CommentTextChar"/>
    <w:uiPriority w:val="99"/>
    <w:rsid w:val="00BC02DE"/>
    <w:rPr>
      <w:sz w:val="20"/>
      <w:szCs w:val="20"/>
    </w:rPr>
  </w:style>
  <w:style w:type="character" w:customStyle="1" w:styleId="CommentTextChar">
    <w:name w:val="Comment Text Char"/>
    <w:basedOn w:val="DefaultParagraphFont"/>
    <w:link w:val="CommentText"/>
    <w:uiPriority w:val="99"/>
    <w:locked/>
    <w:rsid w:val="00BC02DE"/>
    <w:rPr>
      <w:rFonts w:cs="Times New Roman"/>
      <w:sz w:val="20"/>
      <w:szCs w:val="20"/>
      <w:lang w:val="hr-HR" w:eastAsia="hr-HR"/>
    </w:rPr>
  </w:style>
  <w:style w:type="character" w:customStyle="1" w:styleId="smallstandard">
    <w:name w:val="smallstandard"/>
    <w:basedOn w:val="DefaultParagraphFont"/>
    <w:uiPriority w:val="99"/>
    <w:rsid w:val="007E36E2"/>
    <w:rPr>
      <w:rFonts w:cs="Times New Roman"/>
    </w:rPr>
  </w:style>
  <w:style w:type="paragraph" w:customStyle="1" w:styleId="glavnitekst">
    <w:name w:val="glavnitekst"/>
    <w:basedOn w:val="Normal"/>
    <w:uiPriority w:val="99"/>
    <w:rsid w:val="00725134"/>
    <w:pPr>
      <w:spacing w:before="100" w:beforeAutospacing="1" w:after="100" w:afterAutospacing="1"/>
    </w:pPr>
    <w:rPr>
      <w:rFonts w:ascii="Times New Roman" w:hAnsi="Times New Roman"/>
      <w:sz w:val="24"/>
      <w:szCs w:val="24"/>
      <w:lang w:val="hr-BA" w:eastAsia="hr-BA"/>
    </w:rPr>
  </w:style>
  <w:style w:type="character" w:styleId="Strong">
    <w:name w:val="Strong"/>
    <w:basedOn w:val="DefaultParagraphFont"/>
    <w:uiPriority w:val="22"/>
    <w:qFormat/>
    <w:rsid w:val="00864A34"/>
    <w:rPr>
      <w:rFonts w:ascii="Arial" w:hAnsi="Arial" w:cs="Times New Roman"/>
      <w:b/>
      <w:bCs/>
      <w:sz w:val="22"/>
    </w:rPr>
  </w:style>
  <w:style w:type="paragraph" w:styleId="TOC2">
    <w:name w:val="toc 2"/>
    <w:basedOn w:val="Normal"/>
    <w:next w:val="Normal"/>
    <w:autoRedefine/>
    <w:uiPriority w:val="39"/>
    <w:rsid w:val="008E447E"/>
    <w:pPr>
      <w:tabs>
        <w:tab w:val="left" w:pos="720"/>
        <w:tab w:val="right" w:leader="dot" w:pos="9360"/>
      </w:tabs>
      <w:spacing w:after="0"/>
      <w:ind w:left="720" w:hanging="360"/>
      <w:jc w:val="left"/>
    </w:pPr>
    <w:rPr>
      <w:rFonts w:cs="Calibri"/>
      <w:caps/>
      <w:noProof/>
      <w:sz w:val="20"/>
      <w:szCs w:val="20"/>
    </w:rPr>
  </w:style>
  <w:style w:type="paragraph" w:styleId="TOC3">
    <w:name w:val="toc 3"/>
    <w:basedOn w:val="Normal"/>
    <w:next w:val="Normal"/>
    <w:autoRedefine/>
    <w:uiPriority w:val="39"/>
    <w:rsid w:val="001B463F"/>
    <w:pPr>
      <w:tabs>
        <w:tab w:val="right" w:leader="dot" w:pos="9063"/>
      </w:tabs>
      <w:spacing w:after="0"/>
      <w:ind w:left="1080" w:hanging="360"/>
      <w:jc w:val="left"/>
    </w:pPr>
    <w:rPr>
      <w:rFonts w:cs="Calibri"/>
      <w:iCs/>
      <w:noProof/>
      <w:sz w:val="20"/>
      <w:szCs w:val="20"/>
    </w:rPr>
  </w:style>
  <w:style w:type="paragraph" w:styleId="ListParagraph">
    <w:name w:val="List Paragraph"/>
    <w:aliases w:val="List Paragraph_Table bullets,Bullets - level 1"/>
    <w:basedOn w:val="Normal"/>
    <w:link w:val="ListParagraphChar"/>
    <w:uiPriority w:val="34"/>
    <w:qFormat/>
    <w:rsid w:val="00F87956"/>
    <w:pPr>
      <w:spacing w:before="120"/>
      <w:jc w:val="left"/>
    </w:pPr>
  </w:style>
  <w:style w:type="character" w:styleId="HTMLCite">
    <w:name w:val="HTML Cite"/>
    <w:basedOn w:val="DefaultParagraphFont"/>
    <w:uiPriority w:val="99"/>
    <w:semiHidden/>
    <w:rsid w:val="00657FDC"/>
    <w:rPr>
      <w:rFonts w:cs="Times New Roman"/>
      <w:i/>
      <w:iCs/>
    </w:rPr>
  </w:style>
  <w:style w:type="table" w:styleId="TableGrid">
    <w:name w:val="Table Grid"/>
    <w:basedOn w:val="TableNormal"/>
    <w:uiPriority w:val="59"/>
    <w:rsid w:val="003C5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B3FF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545C4C"/>
    <w:rPr>
      <w:rFonts w:cs="Times New Roman"/>
      <w:sz w:val="16"/>
      <w:szCs w:val="16"/>
    </w:rPr>
  </w:style>
  <w:style w:type="paragraph" w:styleId="CommentSubject">
    <w:name w:val="annotation subject"/>
    <w:basedOn w:val="CommentText"/>
    <w:next w:val="CommentText"/>
    <w:link w:val="CommentSubjectChar"/>
    <w:uiPriority w:val="99"/>
    <w:semiHidden/>
    <w:rsid w:val="00545C4C"/>
    <w:rPr>
      <w:b/>
      <w:bCs/>
    </w:rPr>
  </w:style>
  <w:style w:type="character" w:customStyle="1" w:styleId="CommentSubjectChar">
    <w:name w:val="Comment Subject Char"/>
    <w:basedOn w:val="CommentTextChar"/>
    <w:link w:val="CommentSubject"/>
    <w:uiPriority w:val="99"/>
    <w:semiHidden/>
    <w:locked/>
    <w:rsid w:val="00545C4C"/>
    <w:rPr>
      <w:rFonts w:cs="Times New Roman"/>
      <w:b/>
      <w:bCs/>
      <w:sz w:val="20"/>
      <w:szCs w:val="20"/>
      <w:lang w:val="hr-HR" w:eastAsia="hr-HR"/>
    </w:rPr>
  </w:style>
  <w:style w:type="paragraph" w:customStyle="1" w:styleId="TitlePageFooter">
    <w:name w:val="Title Page Footer"/>
    <w:basedOn w:val="Normal"/>
    <w:uiPriority w:val="99"/>
    <w:semiHidden/>
    <w:rsid w:val="00084C9E"/>
    <w:pPr>
      <w:ind w:left="1440" w:right="1440"/>
    </w:pPr>
    <w:rPr>
      <w:color w:val="FFFFFF"/>
      <w:szCs w:val="24"/>
      <w:lang w:eastAsia="en-US"/>
    </w:rPr>
  </w:style>
  <w:style w:type="paragraph" w:customStyle="1" w:styleId="CoverTitle">
    <w:name w:val="Cover Title"/>
    <w:basedOn w:val="Normal"/>
    <w:next w:val="CoverSubtitle"/>
    <w:uiPriority w:val="99"/>
    <w:rsid w:val="00084C9E"/>
    <w:pPr>
      <w:ind w:left="1440" w:right="1440"/>
    </w:pPr>
    <w:rPr>
      <w:rFonts w:ascii="Arial Bold" w:hAnsi="Arial Bold"/>
      <w:b/>
      <w:caps/>
      <w:color w:val="FFFFFF"/>
      <w:sz w:val="60"/>
      <w:szCs w:val="24"/>
      <w:lang w:eastAsia="en-US"/>
    </w:rPr>
  </w:style>
  <w:style w:type="paragraph" w:customStyle="1" w:styleId="CoverSubtitle">
    <w:name w:val="Cover Subtitle"/>
    <w:basedOn w:val="Normal"/>
    <w:uiPriority w:val="99"/>
    <w:rsid w:val="00084C9E"/>
    <w:pPr>
      <w:spacing w:after="0"/>
      <w:ind w:left="1440" w:right="1440"/>
    </w:pPr>
    <w:rPr>
      <w:color w:val="FFFFFF"/>
      <w:sz w:val="30"/>
      <w:szCs w:val="24"/>
      <w:lang w:eastAsia="en-US"/>
    </w:rPr>
  </w:style>
  <w:style w:type="character" w:customStyle="1" w:styleId="Subheading2Char">
    <w:name w:val="Subheading 2 Char"/>
    <w:basedOn w:val="DefaultParagraphFont"/>
    <w:link w:val="Subheading2"/>
    <w:uiPriority w:val="99"/>
    <w:locked/>
    <w:rsid w:val="00F77270"/>
    <w:rPr>
      <w:rFonts w:ascii="Times New Roman Bold" w:hAnsi="Times New Roman Bold"/>
      <w:b/>
      <w:color w:val="3C8A2E"/>
      <w:sz w:val="22"/>
      <w:szCs w:val="24"/>
      <w:lang w:val="en-US" w:eastAsia="en-US" w:bidi="ar-SA"/>
    </w:rPr>
  </w:style>
  <w:style w:type="paragraph" w:customStyle="1" w:styleId="Bullet1">
    <w:name w:val="Bullet 1"/>
    <w:basedOn w:val="ListParagraph"/>
    <w:link w:val="Bullet1Char"/>
    <w:uiPriority w:val="99"/>
    <w:rsid w:val="00A349E4"/>
    <w:pPr>
      <w:numPr>
        <w:numId w:val="2"/>
      </w:numPr>
      <w:spacing w:before="0" w:after="0"/>
    </w:pPr>
  </w:style>
  <w:style w:type="paragraph" w:customStyle="1" w:styleId="Subheading2">
    <w:name w:val="Subheading 2"/>
    <w:next w:val="BodyText"/>
    <w:link w:val="Subheading2Char"/>
    <w:uiPriority w:val="99"/>
    <w:rsid w:val="00F77270"/>
    <w:pPr>
      <w:keepNext/>
      <w:spacing w:after="60"/>
    </w:pPr>
    <w:rPr>
      <w:rFonts w:ascii="Times New Roman Bold" w:hAnsi="Times New Roman Bold"/>
      <w:b/>
      <w:color w:val="3C8A2E"/>
      <w:sz w:val="22"/>
      <w:szCs w:val="24"/>
    </w:rPr>
  </w:style>
  <w:style w:type="paragraph" w:customStyle="1" w:styleId="Bullet2">
    <w:name w:val="Bullet 2"/>
    <w:basedOn w:val="ListParagraph"/>
    <w:uiPriority w:val="99"/>
    <w:rsid w:val="00C76F63"/>
    <w:pPr>
      <w:numPr>
        <w:ilvl w:val="1"/>
        <w:numId w:val="3"/>
      </w:numPr>
      <w:ind w:left="1080"/>
    </w:pPr>
  </w:style>
  <w:style w:type="paragraph" w:styleId="BodyText">
    <w:name w:val="Body Text"/>
    <w:basedOn w:val="Normal"/>
    <w:link w:val="BodyTextChar"/>
    <w:uiPriority w:val="99"/>
    <w:rsid w:val="00F77270"/>
    <w:pPr>
      <w:spacing w:after="180"/>
    </w:pPr>
    <w:rPr>
      <w:rFonts w:ascii="Times New Roman" w:hAnsi="Times New Roman" w:cs="Arial"/>
      <w:sz w:val="24"/>
      <w:szCs w:val="24"/>
      <w:lang w:eastAsia="en-US"/>
    </w:rPr>
  </w:style>
  <w:style w:type="character" w:customStyle="1" w:styleId="BodyTextChar">
    <w:name w:val="Body Text Char"/>
    <w:basedOn w:val="DefaultParagraphFont"/>
    <w:link w:val="BodyText"/>
    <w:uiPriority w:val="99"/>
    <w:locked/>
    <w:rsid w:val="00F77270"/>
    <w:rPr>
      <w:rFonts w:ascii="Times New Roman" w:hAnsi="Times New Roman" w:cs="Arial"/>
      <w:sz w:val="24"/>
      <w:szCs w:val="24"/>
      <w:lang w:val="en-US" w:eastAsia="en-US" w:bidi="ar-SA"/>
    </w:rPr>
  </w:style>
  <w:style w:type="paragraph" w:customStyle="1" w:styleId="CalloutText">
    <w:name w:val="Callout Text"/>
    <w:link w:val="CalloutTextChar"/>
    <w:qFormat/>
    <w:rsid w:val="007765CD"/>
    <w:pPr>
      <w:framePr w:wrap="auto" w:hAnchor="text" w:xAlign="right"/>
      <w:spacing w:before="60" w:after="60"/>
    </w:pPr>
    <w:rPr>
      <w:color w:val="002060"/>
    </w:rPr>
  </w:style>
  <w:style w:type="paragraph" w:customStyle="1" w:styleId="Bullet2Last">
    <w:name w:val="Bullet 2_Last"/>
    <w:basedOn w:val="Bullet2"/>
    <w:next w:val="BodyText"/>
    <w:uiPriority w:val="99"/>
    <w:rsid w:val="00F77270"/>
    <w:pPr>
      <w:spacing w:after="180"/>
    </w:pPr>
  </w:style>
  <w:style w:type="character" w:customStyle="1" w:styleId="CharacterBoldBlueItalic">
    <w:name w:val="Character Bold Blue Italic"/>
    <w:uiPriority w:val="99"/>
    <w:rsid w:val="00F77270"/>
    <w:rPr>
      <w:b/>
      <w:i/>
      <w:color w:val="002776"/>
    </w:rPr>
  </w:style>
  <w:style w:type="paragraph" w:customStyle="1" w:styleId="TableColumnHeadingAlignLeft">
    <w:name w:val="Table Column Heading (Align Left)"/>
    <w:basedOn w:val="Normal"/>
    <w:next w:val="Normal"/>
    <w:uiPriority w:val="99"/>
    <w:rsid w:val="00F576BE"/>
    <w:pPr>
      <w:spacing w:before="20" w:after="20"/>
      <w:jc w:val="left"/>
    </w:pPr>
    <w:rPr>
      <w:rFonts w:asciiTheme="minorHAnsi" w:eastAsiaTheme="minorHAnsi" w:hAnsiTheme="minorHAnsi" w:cstheme="minorHAnsi"/>
      <w:b/>
      <w:color w:val="FFFFFF" w:themeColor="background1"/>
      <w:sz w:val="20"/>
      <w:szCs w:val="20"/>
      <w:lang w:eastAsia="en-US"/>
    </w:rPr>
  </w:style>
  <w:style w:type="character" w:customStyle="1" w:styleId="Bullet1Char">
    <w:name w:val="Bullet 1 Char"/>
    <w:basedOn w:val="BodyTextChar"/>
    <w:link w:val="Bullet1"/>
    <w:uiPriority w:val="99"/>
    <w:locked/>
    <w:rsid w:val="00A349E4"/>
    <w:rPr>
      <w:rFonts w:ascii="Arial" w:hAnsi="Arial" w:cs="Arial"/>
      <w:sz w:val="22"/>
      <w:szCs w:val="22"/>
      <w:lang w:val="en-US" w:eastAsia="hr-HR" w:bidi="ar-SA"/>
    </w:rPr>
  </w:style>
  <w:style w:type="paragraph" w:customStyle="1" w:styleId="Heading0-NoTOC">
    <w:name w:val="Heading 0 - No TOC"/>
    <w:basedOn w:val="Heading1"/>
    <w:next w:val="Normal"/>
    <w:uiPriority w:val="99"/>
    <w:rsid w:val="00331578"/>
    <w:pPr>
      <w:spacing w:after="240"/>
    </w:pPr>
    <w:rPr>
      <w:bCs/>
      <w:color w:val="002A6C"/>
      <w:szCs w:val="28"/>
    </w:rPr>
  </w:style>
  <w:style w:type="paragraph" w:customStyle="1" w:styleId="Style1">
    <w:name w:val="Style1"/>
    <w:basedOn w:val="Heading2"/>
    <w:uiPriority w:val="99"/>
    <w:rsid w:val="008003F2"/>
    <w:pPr>
      <w:spacing w:before="120"/>
    </w:pPr>
  </w:style>
  <w:style w:type="paragraph" w:customStyle="1" w:styleId="Style2">
    <w:name w:val="Style2"/>
    <w:basedOn w:val="Style1"/>
    <w:uiPriority w:val="99"/>
    <w:rsid w:val="008003F2"/>
    <w:pPr>
      <w:ind w:left="432"/>
    </w:pPr>
  </w:style>
  <w:style w:type="paragraph" w:customStyle="1" w:styleId="Style3">
    <w:name w:val="Style3"/>
    <w:basedOn w:val="Style2"/>
    <w:uiPriority w:val="99"/>
    <w:rsid w:val="008003F2"/>
  </w:style>
  <w:style w:type="paragraph" w:customStyle="1" w:styleId="Style4">
    <w:name w:val="Style4"/>
    <w:basedOn w:val="Style3"/>
    <w:uiPriority w:val="99"/>
    <w:rsid w:val="0076416C"/>
    <w:pPr>
      <w:ind w:left="0"/>
    </w:pPr>
  </w:style>
  <w:style w:type="paragraph" w:customStyle="1" w:styleId="Style5">
    <w:name w:val="Style5"/>
    <w:basedOn w:val="Heading2"/>
    <w:uiPriority w:val="99"/>
    <w:rsid w:val="008003F2"/>
    <w:pPr>
      <w:ind w:left="144"/>
    </w:pPr>
  </w:style>
  <w:style w:type="paragraph" w:styleId="Title">
    <w:name w:val="Title"/>
    <w:basedOn w:val="Normal"/>
    <w:next w:val="Normal"/>
    <w:link w:val="TitleChar"/>
    <w:qFormat/>
    <w:locked/>
    <w:rsid w:val="009C741D"/>
    <w:pPr>
      <w:pBdr>
        <w:bottom w:val="single" w:sz="8" w:space="1" w:color="4F81BD"/>
      </w:pBdr>
    </w:pPr>
    <w:rPr>
      <w:rFonts w:ascii="Cambria" w:hAnsi="Cambria"/>
      <w:sz w:val="36"/>
    </w:rPr>
  </w:style>
  <w:style w:type="paragraph" w:customStyle="1" w:styleId="Style7">
    <w:name w:val="Style7"/>
    <w:basedOn w:val="Heading3"/>
    <w:uiPriority w:val="99"/>
    <w:rsid w:val="00992E3F"/>
    <w:pPr>
      <w:ind w:left="432"/>
    </w:pPr>
  </w:style>
  <w:style w:type="paragraph" w:customStyle="1" w:styleId="Figuretitle">
    <w:name w:val="Figure title"/>
    <w:basedOn w:val="Heading3"/>
    <w:uiPriority w:val="99"/>
    <w:rsid w:val="00EE6FD8"/>
    <w:pPr>
      <w:spacing w:before="240"/>
      <w:jc w:val="center"/>
    </w:pPr>
    <w:rPr>
      <w:rFonts w:ascii="Cambria" w:hAnsi="Cambria"/>
      <w:sz w:val="20"/>
      <w:szCs w:val="20"/>
    </w:rPr>
  </w:style>
  <w:style w:type="paragraph" w:styleId="EndnoteText">
    <w:name w:val="endnote text"/>
    <w:basedOn w:val="Normal"/>
    <w:link w:val="EndnoteTextChar"/>
    <w:uiPriority w:val="99"/>
    <w:semiHidden/>
    <w:rsid w:val="00FF79C9"/>
    <w:pPr>
      <w:spacing w:after="0"/>
    </w:pPr>
    <w:rPr>
      <w:sz w:val="20"/>
      <w:szCs w:val="20"/>
    </w:rPr>
  </w:style>
  <w:style w:type="character" w:customStyle="1" w:styleId="EndnoteTextChar">
    <w:name w:val="Endnote Text Char"/>
    <w:basedOn w:val="DefaultParagraphFont"/>
    <w:link w:val="EndnoteText"/>
    <w:uiPriority w:val="99"/>
    <w:semiHidden/>
    <w:locked/>
    <w:rsid w:val="00FF79C9"/>
    <w:rPr>
      <w:rFonts w:cs="Times New Roman"/>
      <w:sz w:val="20"/>
      <w:szCs w:val="20"/>
      <w:lang w:val="en-US"/>
    </w:rPr>
  </w:style>
  <w:style w:type="character" w:styleId="EndnoteReference">
    <w:name w:val="endnote reference"/>
    <w:basedOn w:val="DefaultParagraphFont"/>
    <w:uiPriority w:val="99"/>
    <w:semiHidden/>
    <w:rsid w:val="00FF79C9"/>
    <w:rPr>
      <w:rFonts w:cs="Times New Roman"/>
      <w:vertAlign w:val="superscript"/>
    </w:rPr>
  </w:style>
  <w:style w:type="paragraph" w:styleId="Revision">
    <w:name w:val="Revision"/>
    <w:hidden/>
    <w:uiPriority w:val="99"/>
    <w:semiHidden/>
    <w:rsid w:val="00BC6E26"/>
    <w:rPr>
      <w:sz w:val="22"/>
      <w:szCs w:val="22"/>
      <w:lang w:eastAsia="hr-HR"/>
    </w:rPr>
  </w:style>
  <w:style w:type="character" w:customStyle="1" w:styleId="TitleChar">
    <w:name w:val="Title Char"/>
    <w:basedOn w:val="DefaultParagraphFont"/>
    <w:link w:val="Title"/>
    <w:rsid w:val="009C741D"/>
    <w:rPr>
      <w:rFonts w:ascii="Cambria" w:hAnsi="Cambria"/>
      <w:sz w:val="36"/>
      <w:szCs w:val="22"/>
      <w:lang w:eastAsia="hr-HR"/>
    </w:rPr>
  </w:style>
  <w:style w:type="paragraph" w:customStyle="1" w:styleId="RearCoverAddress">
    <w:name w:val="Rear Cover Address"/>
    <w:basedOn w:val="Normal"/>
    <w:semiHidden/>
    <w:rsid w:val="009D4EC2"/>
    <w:pPr>
      <w:spacing w:after="0"/>
      <w:jc w:val="center"/>
    </w:pPr>
    <w:rPr>
      <w:rFonts w:ascii="Times New Roman" w:hAnsi="Times New Roman"/>
      <w:color w:val="FFFFFF"/>
      <w:sz w:val="30"/>
      <w:szCs w:val="24"/>
      <w:lang w:eastAsia="en-US"/>
    </w:rPr>
  </w:style>
  <w:style w:type="paragraph" w:customStyle="1" w:styleId="Pa0">
    <w:name w:val="Pa0"/>
    <w:basedOn w:val="Normal"/>
    <w:next w:val="Normal"/>
    <w:uiPriority w:val="99"/>
    <w:rsid w:val="00186B7E"/>
    <w:pPr>
      <w:autoSpaceDE w:val="0"/>
      <w:autoSpaceDN w:val="0"/>
      <w:adjustRightInd w:val="0"/>
      <w:spacing w:after="0" w:line="241" w:lineRule="atLeast"/>
    </w:pPr>
    <w:rPr>
      <w:rFonts w:ascii="Helvetica 35 Thin" w:eastAsia="Calibri" w:hAnsi="Helvetica 35 Thin"/>
      <w:sz w:val="24"/>
      <w:szCs w:val="24"/>
      <w:lang w:eastAsia="en-US"/>
    </w:rPr>
  </w:style>
  <w:style w:type="character" w:customStyle="1" w:styleId="A8">
    <w:name w:val="A8"/>
    <w:uiPriority w:val="99"/>
    <w:rsid w:val="00186B7E"/>
    <w:rPr>
      <w:rFonts w:cs="Helvetica 35 Thin"/>
      <w:color w:val="000000"/>
      <w:sz w:val="22"/>
      <w:szCs w:val="22"/>
    </w:rPr>
  </w:style>
  <w:style w:type="paragraph" w:styleId="TOC4">
    <w:name w:val="toc 4"/>
    <w:basedOn w:val="Normal"/>
    <w:next w:val="Normal"/>
    <w:autoRedefine/>
    <w:uiPriority w:val="39"/>
    <w:locked/>
    <w:rsid w:val="00A92A9B"/>
    <w:pPr>
      <w:tabs>
        <w:tab w:val="right" w:leader="dot" w:pos="9063"/>
      </w:tabs>
      <w:spacing w:after="0"/>
      <w:ind w:left="1080"/>
      <w:jc w:val="left"/>
    </w:pPr>
    <w:rPr>
      <w:rFonts w:cs="Calibri"/>
      <w:i/>
      <w:noProof/>
      <w:sz w:val="20"/>
      <w:szCs w:val="18"/>
    </w:rPr>
  </w:style>
  <w:style w:type="paragraph" w:styleId="TOC5">
    <w:name w:val="toc 5"/>
    <w:basedOn w:val="Normal"/>
    <w:next w:val="Normal"/>
    <w:autoRedefine/>
    <w:locked/>
    <w:rsid w:val="00C468EA"/>
    <w:pPr>
      <w:spacing w:after="0"/>
      <w:ind w:left="880"/>
      <w:jc w:val="left"/>
    </w:pPr>
    <w:rPr>
      <w:rFonts w:cs="Calibri"/>
      <w:sz w:val="18"/>
      <w:szCs w:val="18"/>
    </w:rPr>
  </w:style>
  <w:style w:type="paragraph" w:styleId="TOC6">
    <w:name w:val="toc 6"/>
    <w:basedOn w:val="Normal"/>
    <w:next w:val="Normal"/>
    <w:autoRedefine/>
    <w:locked/>
    <w:rsid w:val="00C468EA"/>
    <w:pPr>
      <w:spacing w:after="0"/>
      <w:ind w:left="1100"/>
      <w:jc w:val="left"/>
    </w:pPr>
    <w:rPr>
      <w:rFonts w:cs="Calibri"/>
      <w:sz w:val="18"/>
      <w:szCs w:val="18"/>
    </w:rPr>
  </w:style>
  <w:style w:type="paragraph" w:styleId="TOC7">
    <w:name w:val="toc 7"/>
    <w:basedOn w:val="Normal"/>
    <w:next w:val="Normal"/>
    <w:autoRedefine/>
    <w:locked/>
    <w:rsid w:val="00C468EA"/>
    <w:pPr>
      <w:spacing w:after="0"/>
      <w:ind w:left="1320"/>
      <w:jc w:val="left"/>
    </w:pPr>
    <w:rPr>
      <w:rFonts w:cs="Calibri"/>
      <w:sz w:val="18"/>
      <w:szCs w:val="18"/>
    </w:rPr>
  </w:style>
  <w:style w:type="paragraph" w:styleId="TOC8">
    <w:name w:val="toc 8"/>
    <w:basedOn w:val="Normal"/>
    <w:next w:val="Normal"/>
    <w:autoRedefine/>
    <w:locked/>
    <w:rsid w:val="00C468EA"/>
    <w:pPr>
      <w:spacing w:after="0"/>
      <w:ind w:left="1540"/>
      <w:jc w:val="left"/>
    </w:pPr>
    <w:rPr>
      <w:rFonts w:cs="Calibri"/>
      <w:sz w:val="18"/>
      <w:szCs w:val="18"/>
    </w:rPr>
  </w:style>
  <w:style w:type="paragraph" w:styleId="TOC9">
    <w:name w:val="toc 9"/>
    <w:basedOn w:val="Normal"/>
    <w:next w:val="Normal"/>
    <w:autoRedefine/>
    <w:locked/>
    <w:rsid w:val="00C468EA"/>
    <w:pPr>
      <w:spacing w:after="0"/>
      <w:ind w:left="1760"/>
      <w:jc w:val="left"/>
    </w:pPr>
    <w:rPr>
      <w:rFonts w:cs="Calibri"/>
      <w:sz w:val="18"/>
      <w:szCs w:val="18"/>
    </w:rPr>
  </w:style>
  <w:style w:type="character" w:customStyle="1" w:styleId="Heading4Char">
    <w:name w:val="Heading 4 Char"/>
    <w:basedOn w:val="DefaultParagraphFont"/>
    <w:link w:val="Heading4"/>
    <w:rsid w:val="00BD2B6C"/>
    <w:rPr>
      <w:rFonts w:ascii="Arial" w:hAnsi="Arial" w:cs="Arial"/>
      <w:b/>
      <w:color w:val="28A9DA" w:themeColor="background2" w:themeShade="BF"/>
      <w:sz w:val="22"/>
      <w:szCs w:val="24"/>
    </w:rPr>
  </w:style>
  <w:style w:type="paragraph" w:customStyle="1" w:styleId="Bullet1Last">
    <w:name w:val="Bullet 1_Last"/>
    <w:basedOn w:val="Bullet1"/>
    <w:qFormat/>
    <w:rsid w:val="0038787D"/>
    <w:pPr>
      <w:spacing w:after="240"/>
    </w:pPr>
  </w:style>
  <w:style w:type="character" w:styleId="SubtleEmphasis">
    <w:name w:val="Subtle Emphasis"/>
    <w:uiPriority w:val="19"/>
    <w:qFormat/>
    <w:rsid w:val="006C3F61"/>
    <w:rPr>
      <w:rFonts w:cs="Calibri"/>
      <w:i/>
      <w:color w:val="808080" w:themeColor="background1" w:themeShade="80"/>
      <w:sz w:val="20"/>
    </w:rPr>
  </w:style>
  <w:style w:type="character" w:styleId="IntenseEmphasis">
    <w:name w:val="Intense Emphasis"/>
    <w:basedOn w:val="DefaultParagraphFont"/>
    <w:uiPriority w:val="21"/>
    <w:qFormat/>
    <w:rsid w:val="00783DFA"/>
    <w:rPr>
      <w:b/>
      <w:bCs/>
      <w:i/>
      <w:iCs/>
      <w:color w:val="002776" w:themeColor="accent1"/>
    </w:rPr>
  </w:style>
  <w:style w:type="character" w:customStyle="1" w:styleId="Heading5Char">
    <w:name w:val="Heading 5 Char"/>
    <w:basedOn w:val="DefaultParagraphFont"/>
    <w:link w:val="Heading5"/>
    <w:rsid w:val="00BD2B6C"/>
    <w:rPr>
      <w:rFonts w:ascii="Arial" w:hAnsi="Arial" w:cs="Arial"/>
      <w:b/>
      <w:color w:val="92D400" w:themeColor="accent2"/>
      <w:sz w:val="22"/>
      <w:szCs w:val="24"/>
    </w:rPr>
  </w:style>
  <w:style w:type="paragraph" w:customStyle="1" w:styleId="Heading1-nonumbering">
    <w:name w:val="Heading 1 - no numbering"/>
    <w:basedOn w:val="Heading1"/>
    <w:qFormat/>
    <w:rsid w:val="00927472"/>
    <w:rPr>
      <w:caps w:val="0"/>
    </w:rPr>
  </w:style>
  <w:style w:type="paragraph" w:customStyle="1" w:styleId="TableBody">
    <w:name w:val="Table Body"/>
    <w:link w:val="TableBodyChar"/>
    <w:qFormat/>
    <w:rsid w:val="007765CD"/>
    <w:pPr>
      <w:spacing w:before="60" w:after="60"/>
    </w:pPr>
    <w:rPr>
      <w:rFonts w:asciiTheme="minorHAnsi" w:hAnsiTheme="minorHAnsi"/>
      <w:color w:val="002776"/>
      <w:szCs w:val="24"/>
    </w:rPr>
  </w:style>
  <w:style w:type="character" w:customStyle="1" w:styleId="CharacterWhiteText">
    <w:name w:val="Character White Text"/>
    <w:uiPriority w:val="99"/>
    <w:rsid w:val="005B7909"/>
    <w:rPr>
      <w:color w:val="FFFFFF"/>
    </w:rPr>
  </w:style>
  <w:style w:type="paragraph" w:customStyle="1" w:styleId="TableText">
    <w:name w:val="Table Text"/>
    <w:basedOn w:val="Normal"/>
    <w:uiPriority w:val="99"/>
    <w:qFormat/>
    <w:rsid w:val="007765CD"/>
    <w:pPr>
      <w:spacing w:beforeLines="40" w:afterLines="40"/>
      <w:jc w:val="left"/>
    </w:pPr>
    <w:rPr>
      <w:rFonts w:asciiTheme="minorHAnsi" w:hAnsiTheme="minorHAnsi" w:cstheme="minorHAnsi"/>
      <w:color w:val="002060"/>
      <w:sz w:val="20"/>
      <w:szCs w:val="20"/>
    </w:rPr>
  </w:style>
  <w:style w:type="paragraph" w:styleId="Subtitle">
    <w:name w:val="Subtitle"/>
    <w:basedOn w:val="Normal"/>
    <w:next w:val="Normal"/>
    <w:link w:val="SubtitleChar"/>
    <w:qFormat/>
    <w:locked/>
    <w:rsid w:val="00646F6A"/>
    <w:pPr>
      <w:numPr>
        <w:ilvl w:val="1"/>
      </w:numPr>
    </w:pPr>
    <w:rPr>
      <w:rFonts w:asciiTheme="majorHAnsi" w:eastAsiaTheme="majorEastAsia" w:hAnsiTheme="majorHAnsi" w:cstheme="majorBidi"/>
      <w:i/>
      <w:iCs/>
      <w:color w:val="002776" w:themeColor="accent1"/>
      <w:spacing w:val="15"/>
      <w:sz w:val="24"/>
      <w:szCs w:val="24"/>
    </w:rPr>
  </w:style>
  <w:style w:type="character" w:customStyle="1" w:styleId="SubtitleChar">
    <w:name w:val="Subtitle Char"/>
    <w:basedOn w:val="DefaultParagraphFont"/>
    <w:link w:val="Subtitle"/>
    <w:rsid w:val="00646F6A"/>
    <w:rPr>
      <w:rFonts w:asciiTheme="majorHAnsi" w:eastAsiaTheme="majorEastAsia" w:hAnsiTheme="majorHAnsi" w:cstheme="majorBidi"/>
      <w:i/>
      <w:iCs/>
      <w:color w:val="002776" w:themeColor="accent1"/>
      <w:spacing w:val="15"/>
      <w:sz w:val="24"/>
      <w:szCs w:val="24"/>
      <w:lang w:eastAsia="hr-HR"/>
    </w:rPr>
  </w:style>
  <w:style w:type="paragraph" w:styleId="ListBullet">
    <w:name w:val="List Bullet"/>
    <w:basedOn w:val="Normal"/>
    <w:uiPriority w:val="99"/>
    <w:rsid w:val="00B94EEB"/>
    <w:pPr>
      <w:numPr>
        <w:numId w:val="1"/>
      </w:numPr>
      <w:autoSpaceDE w:val="0"/>
      <w:autoSpaceDN w:val="0"/>
      <w:adjustRightInd w:val="0"/>
      <w:spacing w:after="0" w:line="276" w:lineRule="auto"/>
      <w:contextualSpacing/>
    </w:pPr>
    <w:rPr>
      <w:szCs w:val="24"/>
    </w:rPr>
  </w:style>
  <w:style w:type="character" w:styleId="Emphasis">
    <w:name w:val="Emphasis"/>
    <w:basedOn w:val="DefaultParagraphFont"/>
    <w:uiPriority w:val="20"/>
    <w:qFormat/>
    <w:locked/>
    <w:rsid w:val="00114B18"/>
    <w:rPr>
      <w:i/>
      <w:iCs/>
    </w:rPr>
  </w:style>
  <w:style w:type="paragraph" w:customStyle="1" w:styleId="Bullet1nospace">
    <w:name w:val="Bullet 1 no space"/>
    <w:basedOn w:val="Bullet1"/>
    <w:qFormat/>
    <w:rsid w:val="00EE6FD8"/>
    <w:pPr>
      <w:spacing w:after="100" w:afterAutospacing="1"/>
    </w:pPr>
  </w:style>
  <w:style w:type="table" w:customStyle="1" w:styleId="LightShading1">
    <w:name w:val="Light Shading1"/>
    <w:basedOn w:val="TableNormal"/>
    <w:uiPriority w:val="60"/>
    <w:rsid w:val="00445F4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List Paragraph_Table bullets Char,Bullets - level 1 Char"/>
    <w:basedOn w:val="DefaultParagraphFont"/>
    <w:link w:val="ListParagraph"/>
    <w:uiPriority w:val="34"/>
    <w:rsid w:val="00445F47"/>
    <w:rPr>
      <w:sz w:val="22"/>
      <w:szCs w:val="22"/>
      <w:lang w:eastAsia="hr-HR"/>
    </w:rPr>
  </w:style>
  <w:style w:type="paragraph" w:customStyle="1" w:styleId="PMGBodyText">
    <w:name w:val="PMG Body Text"/>
    <w:basedOn w:val="Normal"/>
    <w:link w:val="PMGBodyTextCharChar"/>
    <w:rsid w:val="008D2D6D"/>
    <w:pPr>
      <w:jc w:val="left"/>
    </w:pPr>
    <w:rPr>
      <w:rFonts w:ascii="Verdana" w:hAnsi="Verdana"/>
      <w:sz w:val="20"/>
      <w:szCs w:val="20"/>
      <w:lang w:eastAsia="en-US"/>
    </w:rPr>
  </w:style>
  <w:style w:type="character" w:customStyle="1" w:styleId="PMGBodyTextCharChar">
    <w:name w:val="PMG Body Text Char Char"/>
    <w:basedOn w:val="DefaultParagraphFont"/>
    <w:link w:val="PMGBodyText"/>
    <w:rsid w:val="008D2D6D"/>
    <w:rPr>
      <w:rFonts w:ascii="Verdana" w:hAnsi="Verdana"/>
    </w:rPr>
  </w:style>
  <w:style w:type="character" w:styleId="FollowedHyperlink">
    <w:name w:val="FollowedHyperlink"/>
    <w:basedOn w:val="DefaultParagraphFont"/>
    <w:uiPriority w:val="99"/>
    <w:semiHidden/>
    <w:unhideWhenUsed/>
    <w:rsid w:val="009B7483"/>
    <w:rPr>
      <w:color w:val="3C8A2E" w:themeColor="followedHyperlink"/>
      <w:u w:val="single"/>
    </w:rPr>
  </w:style>
  <w:style w:type="paragraph" w:customStyle="1" w:styleId="List-lastbullet">
    <w:name w:val="List - last bullet"/>
    <w:basedOn w:val="ListParagraph"/>
    <w:uiPriority w:val="99"/>
    <w:rsid w:val="00EF4D7C"/>
    <w:pPr>
      <w:spacing w:before="0" w:after="180"/>
      <w:ind w:left="1440"/>
      <w:contextualSpacing/>
    </w:pPr>
    <w:rPr>
      <w:lang w:eastAsia="en-US"/>
    </w:rPr>
  </w:style>
  <w:style w:type="character" w:customStyle="1" w:styleId="apple-style-span">
    <w:name w:val="apple-style-span"/>
    <w:basedOn w:val="DefaultParagraphFont"/>
    <w:rsid w:val="0035164D"/>
  </w:style>
  <w:style w:type="paragraph" w:customStyle="1" w:styleId="CalloutboxTitle">
    <w:name w:val="Callout box Title"/>
    <w:basedOn w:val="CalloutText"/>
    <w:qFormat/>
    <w:rsid w:val="006C3F61"/>
    <w:pPr>
      <w:framePr w:wrap="auto"/>
      <w:spacing w:after="120"/>
      <w:jc w:val="center"/>
    </w:pPr>
    <w:rPr>
      <w:b/>
    </w:rPr>
  </w:style>
  <w:style w:type="paragraph" w:styleId="Caption">
    <w:name w:val="caption"/>
    <w:basedOn w:val="Figuretitle"/>
    <w:next w:val="Normal"/>
    <w:link w:val="CaptionChar"/>
    <w:uiPriority w:val="35"/>
    <w:unhideWhenUsed/>
    <w:qFormat/>
    <w:locked/>
    <w:rsid w:val="000A4DD2"/>
    <w:pPr>
      <w:numPr>
        <w:ilvl w:val="0"/>
        <w:numId w:val="0"/>
      </w:numPr>
    </w:pPr>
    <w:rPr>
      <w:rFonts w:ascii="Arial" w:hAnsi="Arial"/>
    </w:rPr>
  </w:style>
  <w:style w:type="character" w:customStyle="1" w:styleId="ft">
    <w:name w:val="ft"/>
    <w:basedOn w:val="DefaultParagraphFont"/>
    <w:rsid w:val="00DE5C0B"/>
  </w:style>
  <w:style w:type="paragraph" w:customStyle="1" w:styleId="Calloutboxtext">
    <w:name w:val="Callout box text"/>
    <w:basedOn w:val="CalloutboxTitle"/>
    <w:qFormat/>
    <w:rsid w:val="006C3F61"/>
    <w:pPr>
      <w:framePr w:wrap="auto"/>
      <w:jc w:val="left"/>
    </w:pPr>
    <w:rPr>
      <w:b w:val="0"/>
    </w:rPr>
  </w:style>
  <w:style w:type="character" w:customStyle="1" w:styleId="field-content2">
    <w:name w:val="field-content2"/>
    <w:basedOn w:val="DefaultParagraphFont"/>
    <w:rsid w:val="00CE077B"/>
  </w:style>
  <w:style w:type="paragraph" w:customStyle="1" w:styleId="FooterOdd">
    <w:name w:val="Footer Odd"/>
    <w:basedOn w:val="Normal"/>
    <w:qFormat/>
    <w:rsid w:val="00095796"/>
    <w:pPr>
      <w:pBdr>
        <w:top w:val="single" w:sz="4" w:space="1" w:color="002776" w:themeColor="accent1"/>
      </w:pBdr>
      <w:spacing w:after="180" w:line="264" w:lineRule="auto"/>
      <w:jc w:val="right"/>
    </w:pPr>
    <w:rPr>
      <w:rFonts w:asciiTheme="minorHAnsi" w:eastAsiaTheme="minorHAnsi" w:hAnsiTheme="minorHAnsi"/>
      <w:color w:val="C9DD03" w:themeColor="text2"/>
      <w:sz w:val="20"/>
      <w:szCs w:val="20"/>
      <w:lang w:eastAsia="ja-JP"/>
    </w:rPr>
  </w:style>
  <w:style w:type="table" w:customStyle="1" w:styleId="LightShading-Accent111">
    <w:name w:val="Light Shading - Accent 111"/>
    <w:basedOn w:val="TableNormal"/>
    <w:next w:val="TableNormal"/>
    <w:uiPriority w:val="60"/>
    <w:rsid w:val="00AB6515"/>
    <w:rPr>
      <w:rFonts w:eastAsia="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lloutTextChar">
    <w:name w:val="Callout Text Char"/>
    <w:basedOn w:val="DefaultParagraphFont"/>
    <w:link w:val="CalloutText"/>
    <w:locked/>
    <w:rsid w:val="009A392B"/>
    <w:rPr>
      <w:color w:val="002060"/>
    </w:rPr>
  </w:style>
  <w:style w:type="character" w:customStyle="1" w:styleId="CaptionChar">
    <w:name w:val="Caption Char"/>
    <w:link w:val="Caption"/>
    <w:uiPriority w:val="35"/>
    <w:rsid w:val="000A4DD2"/>
    <w:rPr>
      <w:rFonts w:ascii="Arial" w:hAnsi="Arial" w:cs="Arial"/>
      <w:b/>
      <w:color w:val="002776" w:themeColor="accent1"/>
    </w:rPr>
  </w:style>
  <w:style w:type="paragraph" w:customStyle="1" w:styleId="CalloutBullet">
    <w:name w:val="Callout Bullet"/>
    <w:basedOn w:val="ListParagraph"/>
    <w:qFormat/>
    <w:rsid w:val="000818AC"/>
    <w:pPr>
      <w:widowControl w:val="0"/>
      <w:numPr>
        <w:numId w:val="4"/>
      </w:numPr>
      <w:spacing w:before="20" w:after="20"/>
      <w:ind w:left="180" w:hanging="180"/>
      <w:contextualSpacing/>
    </w:pPr>
    <w:rPr>
      <w:rFonts w:eastAsia="Calibri"/>
      <w:sz w:val="16"/>
      <w:szCs w:val="18"/>
      <w:lang w:eastAsia="en-US"/>
    </w:rPr>
  </w:style>
  <w:style w:type="paragraph" w:customStyle="1" w:styleId="CalloutTitle">
    <w:name w:val="Callout Title"/>
    <w:basedOn w:val="Normal"/>
    <w:qFormat/>
    <w:rsid w:val="000818AC"/>
    <w:pPr>
      <w:spacing w:before="60" w:after="60"/>
      <w:jc w:val="center"/>
    </w:pPr>
    <w:rPr>
      <w:rFonts w:ascii="Arial Bold" w:eastAsia="SimSun" w:hAnsi="Arial Bold" w:cs="Arial"/>
      <w:b/>
      <w:color w:val="FFFFFF" w:themeColor="background1"/>
      <w:sz w:val="18"/>
      <w:szCs w:val="20"/>
      <w:lang w:eastAsia="en-US"/>
    </w:rPr>
  </w:style>
  <w:style w:type="character" w:customStyle="1" w:styleId="TableBodyChar">
    <w:name w:val="Table Body Char"/>
    <w:basedOn w:val="DefaultParagraphFont"/>
    <w:link w:val="TableBody"/>
    <w:locked/>
    <w:rsid w:val="00557E9C"/>
    <w:rPr>
      <w:rFonts w:asciiTheme="minorHAnsi" w:hAnsiTheme="minorHAnsi"/>
      <w:color w:val="002776"/>
      <w:szCs w:val="24"/>
    </w:rPr>
  </w:style>
  <w:style w:type="paragraph" w:customStyle="1" w:styleId="calloutbullet0">
    <w:name w:val="calloutbullet"/>
    <w:basedOn w:val="Normal"/>
    <w:uiPriority w:val="99"/>
    <w:semiHidden/>
    <w:rsid w:val="00AC4F2C"/>
    <w:pPr>
      <w:spacing w:after="0"/>
      <w:jc w:val="left"/>
    </w:pPr>
    <w:rPr>
      <w:rFonts w:ascii="Times New Roman" w:eastAsiaTheme="minorHAnsi" w:hAnsi="Times New Roman"/>
      <w:sz w:val="24"/>
      <w:szCs w:val="24"/>
      <w:lang w:eastAsia="en-US"/>
    </w:rPr>
  </w:style>
  <w:style w:type="paragraph" w:customStyle="1" w:styleId="CoverDate">
    <w:name w:val="Cover Date"/>
    <w:basedOn w:val="Normal"/>
    <w:uiPriority w:val="99"/>
    <w:rsid w:val="00696876"/>
    <w:pPr>
      <w:shd w:val="solid" w:color="FFFFFF" w:fill="FFFFFF"/>
      <w:spacing w:before="200" w:after="0" w:line="360" w:lineRule="exact"/>
      <w:ind w:left="1985"/>
      <w:jc w:val="left"/>
    </w:pPr>
    <w:rPr>
      <w:rFonts w:cs="Arial"/>
      <w:sz w:val="36"/>
      <w:szCs w:val="36"/>
      <w:lang w:eastAsia="en-US"/>
    </w:rPr>
  </w:style>
  <w:style w:type="table" w:styleId="TableGridLight">
    <w:name w:val="Grid Table Light"/>
    <w:basedOn w:val="TableNormal"/>
    <w:uiPriority w:val="40"/>
    <w:rsid w:val="00274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ainTable">
    <w:name w:val="Main Table"/>
    <w:basedOn w:val="TableNormal"/>
    <w:uiPriority w:val="99"/>
    <w:rsid w:val="0027437C"/>
    <w:rPr>
      <w:rFonts w:ascii="Arial" w:hAnsi="Arial"/>
      <w:sz w:val="22"/>
    </w:rPr>
    <w:tblPr>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rPr>
      <w:tblPr/>
      <w:tcPr>
        <w:shd w:val="clear" w:color="auto" w:fill="002776" w:themeFill="accent1"/>
      </w:tcPr>
    </w:tblStylePr>
  </w:style>
  <w:style w:type="paragraph" w:styleId="TableofFigures">
    <w:name w:val="table of figures"/>
    <w:basedOn w:val="Normal"/>
    <w:next w:val="Normal"/>
    <w:uiPriority w:val="99"/>
    <w:unhideWhenUsed/>
    <w:rsid w:val="00285C58"/>
    <w:pPr>
      <w:spacing w:after="0"/>
    </w:pPr>
    <w:rPr>
      <w:sz w:val="20"/>
    </w:rPr>
  </w:style>
  <w:style w:type="character" w:customStyle="1" w:styleId="UnresolvedMention1">
    <w:name w:val="Unresolved Mention1"/>
    <w:basedOn w:val="DefaultParagraphFont"/>
    <w:uiPriority w:val="99"/>
    <w:semiHidden/>
    <w:unhideWhenUsed/>
    <w:rsid w:val="00E35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399">
      <w:bodyDiv w:val="1"/>
      <w:marLeft w:val="0"/>
      <w:marRight w:val="0"/>
      <w:marTop w:val="0"/>
      <w:marBottom w:val="0"/>
      <w:divBdr>
        <w:top w:val="none" w:sz="0" w:space="0" w:color="auto"/>
        <w:left w:val="none" w:sz="0" w:space="0" w:color="auto"/>
        <w:bottom w:val="none" w:sz="0" w:space="0" w:color="auto"/>
        <w:right w:val="none" w:sz="0" w:space="0" w:color="auto"/>
      </w:divBdr>
    </w:div>
    <w:div w:id="29037713">
      <w:bodyDiv w:val="1"/>
      <w:marLeft w:val="0"/>
      <w:marRight w:val="0"/>
      <w:marTop w:val="0"/>
      <w:marBottom w:val="0"/>
      <w:divBdr>
        <w:top w:val="none" w:sz="0" w:space="0" w:color="auto"/>
        <w:left w:val="none" w:sz="0" w:space="0" w:color="auto"/>
        <w:bottom w:val="none" w:sz="0" w:space="0" w:color="auto"/>
        <w:right w:val="none" w:sz="0" w:space="0" w:color="auto"/>
      </w:divBdr>
    </w:div>
    <w:div w:id="36857992">
      <w:bodyDiv w:val="1"/>
      <w:marLeft w:val="0"/>
      <w:marRight w:val="0"/>
      <w:marTop w:val="0"/>
      <w:marBottom w:val="0"/>
      <w:divBdr>
        <w:top w:val="none" w:sz="0" w:space="0" w:color="auto"/>
        <w:left w:val="none" w:sz="0" w:space="0" w:color="auto"/>
        <w:bottom w:val="none" w:sz="0" w:space="0" w:color="auto"/>
        <w:right w:val="none" w:sz="0" w:space="0" w:color="auto"/>
      </w:divBdr>
    </w:div>
    <w:div w:id="48965568">
      <w:bodyDiv w:val="1"/>
      <w:marLeft w:val="0"/>
      <w:marRight w:val="0"/>
      <w:marTop w:val="0"/>
      <w:marBottom w:val="0"/>
      <w:divBdr>
        <w:top w:val="none" w:sz="0" w:space="0" w:color="auto"/>
        <w:left w:val="none" w:sz="0" w:space="0" w:color="auto"/>
        <w:bottom w:val="none" w:sz="0" w:space="0" w:color="auto"/>
        <w:right w:val="none" w:sz="0" w:space="0" w:color="auto"/>
      </w:divBdr>
    </w:div>
    <w:div w:id="51780638">
      <w:bodyDiv w:val="1"/>
      <w:marLeft w:val="0"/>
      <w:marRight w:val="0"/>
      <w:marTop w:val="0"/>
      <w:marBottom w:val="0"/>
      <w:divBdr>
        <w:top w:val="none" w:sz="0" w:space="0" w:color="auto"/>
        <w:left w:val="none" w:sz="0" w:space="0" w:color="auto"/>
        <w:bottom w:val="none" w:sz="0" w:space="0" w:color="auto"/>
        <w:right w:val="none" w:sz="0" w:space="0" w:color="auto"/>
      </w:divBdr>
    </w:div>
    <w:div w:id="66075458">
      <w:bodyDiv w:val="1"/>
      <w:marLeft w:val="0"/>
      <w:marRight w:val="0"/>
      <w:marTop w:val="0"/>
      <w:marBottom w:val="0"/>
      <w:divBdr>
        <w:top w:val="none" w:sz="0" w:space="0" w:color="auto"/>
        <w:left w:val="none" w:sz="0" w:space="0" w:color="auto"/>
        <w:bottom w:val="none" w:sz="0" w:space="0" w:color="auto"/>
        <w:right w:val="none" w:sz="0" w:space="0" w:color="auto"/>
      </w:divBdr>
    </w:div>
    <w:div w:id="105466361">
      <w:bodyDiv w:val="1"/>
      <w:marLeft w:val="0"/>
      <w:marRight w:val="0"/>
      <w:marTop w:val="0"/>
      <w:marBottom w:val="0"/>
      <w:divBdr>
        <w:top w:val="none" w:sz="0" w:space="0" w:color="auto"/>
        <w:left w:val="none" w:sz="0" w:space="0" w:color="auto"/>
        <w:bottom w:val="none" w:sz="0" w:space="0" w:color="auto"/>
        <w:right w:val="none" w:sz="0" w:space="0" w:color="auto"/>
      </w:divBdr>
    </w:div>
    <w:div w:id="119302478">
      <w:bodyDiv w:val="1"/>
      <w:marLeft w:val="0"/>
      <w:marRight w:val="0"/>
      <w:marTop w:val="0"/>
      <w:marBottom w:val="0"/>
      <w:divBdr>
        <w:top w:val="none" w:sz="0" w:space="0" w:color="auto"/>
        <w:left w:val="none" w:sz="0" w:space="0" w:color="auto"/>
        <w:bottom w:val="none" w:sz="0" w:space="0" w:color="auto"/>
        <w:right w:val="none" w:sz="0" w:space="0" w:color="auto"/>
      </w:divBdr>
    </w:div>
    <w:div w:id="122970498">
      <w:bodyDiv w:val="1"/>
      <w:marLeft w:val="0"/>
      <w:marRight w:val="0"/>
      <w:marTop w:val="0"/>
      <w:marBottom w:val="0"/>
      <w:divBdr>
        <w:top w:val="none" w:sz="0" w:space="0" w:color="auto"/>
        <w:left w:val="none" w:sz="0" w:space="0" w:color="auto"/>
        <w:bottom w:val="none" w:sz="0" w:space="0" w:color="auto"/>
        <w:right w:val="none" w:sz="0" w:space="0" w:color="auto"/>
      </w:divBdr>
      <w:divsChild>
        <w:div w:id="1562404918">
          <w:marLeft w:val="0"/>
          <w:marRight w:val="0"/>
          <w:marTop w:val="0"/>
          <w:marBottom w:val="0"/>
          <w:divBdr>
            <w:top w:val="none" w:sz="0" w:space="0" w:color="auto"/>
            <w:left w:val="none" w:sz="0" w:space="0" w:color="auto"/>
            <w:bottom w:val="none" w:sz="0" w:space="0" w:color="auto"/>
            <w:right w:val="none" w:sz="0" w:space="0" w:color="auto"/>
          </w:divBdr>
          <w:divsChild>
            <w:div w:id="1756511696">
              <w:marLeft w:val="0"/>
              <w:marRight w:val="0"/>
              <w:marTop w:val="0"/>
              <w:marBottom w:val="0"/>
              <w:divBdr>
                <w:top w:val="none" w:sz="0" w:space="0" w:color="auto"/>
                <w:left w:val="none" w:sz="0" w:space="0" w:color="auto"/>
                <w:bottom w:val="none" w:sz="0" w:space="0" w:color="auto"/>
                <w:right w:val="none" w:sz="0" w:space="0" w:color="auto"/>
              </w:divBdr>
              <w:divsChild>
                <w:div w:id="1828552065">
                  <w:marLeft w:val="0"/>
                  <w:marRight w:val="0"/>
                  <w:marTop w:val="0"/>
                  <w:marBottom w:val="0"/>
                  <w:divBdr>
                    <w:top w:val="none" w:sz="0" w:space="0" w:color="auto"/>
                    <w:left w:val="none" w:sz="0" w:space="0" w:color="auto"/>
                    <w:bottom w:val="none" w:sz="0" w:space="0" w:color="auto"/>
                    <w:right w:val="none" w:sz="0" w:space="0" w:color="auto"/>
                  </w:divBdr>
                  <w:divsChild>
                    <w:div w:id="1327828202">
                      <w:marLeft w:val="0"/>
                      <w:marRight w:val="0"/>
                      <w:marTop w:val="0"/>
                      <w:marBottom w:val="0"/>
                      <w:divBdr>
                        <w:top w:val="none" w:sz="0" w:space="0" w:color="auto"/>
                        <w:left w:val="none" w:sz="0" w:space="0" w:color="auto"/>
                        <w:bottom w:val="none" w:sz="0" w:space="0" w:color="auto"/>
                        <w:right w:val="none" w:sz="0" w:space="0" w:color="auto"/>
                      </w:divBdr>
                      <w:divsChild>
                        <w:div w:id="900213885">
                          <w:marLeft w:val="0"/>
                          <w:marRight w:val="0"/>
                          <w:marTop w:val="0"/>
                          <w:marBottom w:val="0"/>
                          <w:divBdr>
                            <w:top w:val="none" w:sz="0" w:space="0" w:color="auto"/>
                            <w:left w:val="none" w:sz="0" w:space="0" w:color="auto"/>
                            <w:bottom w:val="none" w:sz="0" w:space="0" w:color="auto"/>
                            <w:right w:val="none" w:sz="0" w:space="0" w:color="auto"/>
                          </w:divBdr>
                          <w:divsChild>
                            <w:div w:id="994839107">
                              <w:marLeft w:val="0"/>
                              <w:marRight w:val="0"/>
                              <w:marTop w:val="0"/>
                              <w:marBottom w:val="0"/>
                              <w:divBdr>
                                <w:top w:val="none" w:sz="0" w:space="0" w:color="auto"/>
                                <w:left w:val="none" w:sz="0" w:space="0" w:color="auto"/>
                                <w:bottom w:val="none" w:sz="0" w:space="0" w:color="auto"/>
                                <w:right w:val="none" w:sz="0" w:space="0" w:color="auto"/>
                              </w:divBdr>
                              <w:divsChild>
                                <w:div w:id="982271589">
                                  <w:marLeft w:val="0"/>
                                  <w:marRight w:val="0"/>
                                  <w:marTop w:val="0"/>
                                  <w:marBottom w:val="0"/>
                                  <w:divBdr>
                                    <w:top w:val="none" w:sz="0" w:space="0" w:color="auto"/>
                                    <w:left w:val="none" w:sz="0" w:space="0" w:color="auto"/>
                                    <w:bottom w:val="none" w:sz="0" w:space="0" w:color="auto"/>
                                    <w:right w:val="none" w:sz="0" w:space="0" w:color="auto"/>
                                  </w:divBdr>
                                  <w:divsChild>
                                    <w:div w:id="72551963">
                                      <w:marLeft w:val="0"/>
                                      <w:marRight w:val="0"/>
                                      <w:marTop w:val="0"/>
                                      <w:marBottom w:val="0"/>
                                      <w:divBdr>
                                        <w:top w:val="none" w:sz="0" w:space="0" w:color="auto"/>
                                        <w:left w:val="none" w:sz="0" w:space="0" w:color="auto"/>
                                        <w:bottom w:val="none" w:sz="0" w:space="0" w:color="auto"/>
                                        <w:right w:val="none" w:sz="0" w:space="0" w:color="auto"/>
                                      </w:divBdr>
                                      <w:divsChild>
                                        <w:div w:id="445007103">
                                          <w:marLeft w:val="0"/>
                                          <w:marRight w:val="0"/>
                                          <w:marTop w:val="0"/>
                                          <w:marBottom w:val="0"/>
                                          <w:divBdr>
                                            <w:top w:val="none" w:sz="0" w:space="0" w:color="auto"/>
                                            <w:left w:val="none" w:sz="0" w:space="0" w:color="auto"/>
                                            <w:bottom w:val="none" w:sz="0" w:space="0" w:color="auto"/>
                                            <w:right w:val="none" w:sz="0" w:space="0" w:color="auto"/>
                                          </w:divBdr>
                                          <w:divsChild>
                                            <w:div w:id="1019430437">
                                              <w:marLeft w:val="0"/>
                                              <w:marRight w:val="0"/>
                                              <w:marTop w:val="0"/>
                                              <w:marBottom w:val="0"/>
                                              <w:divBdr>
                                                <w:top w:val="none" w:sz="0" w:space="0" w:color="auto"/>
                                                <w:left w:val="none" w:sz="0" w:space="0" w:color="auto"/>
                                                <w:bottom w:val="none" w:sz="0" w:space="0" w:color="auto"/>
                                                <w:right w:val="none" w:sz="0" w:space="0" w:color="auto"/>
                                              </w:divBdr>
                                              <w:divsChild>
                                                <w:div w:id="269095578">
                                                  <w:marLeft w:val="0"/>
                                                  <w:marRight w:val="0"/>
                                                  <w:marTop w:val="0"/>
                                                  <w:marBottom w:val="0"/>
                                                  <w:divBdr>
                                                    <w:top w:val="none" w:sz="0" w:space="0" w:color="auto"/>
                                                    <w:left w:val="none" w:sz="0" w:space="0" w:color="auto"/>
                                                    <w:bottom w:val="none" w:sz="0" w:space="0" w:color="auto"/>
                                                    <w:right w:val="none" w:sz="0" w:space="0" w:color="auto"/>
                                                  </w:divBdr>
                                                  <w:divsChild>
                                                    <w:div w:id="302782266">
                                                      <w:marLeft w:val="0"/>
                                                      <w:marRight w:val="0"/>
                                                      <w:marTop w:val="0"/>
                                                      <w:marBottom w:val="0"/>
                                                      <w:divBdr>
                                                        <w:top w:val="none" w:sz="0" w:space="0" w:color="auto"/>
                                                        <w:left w:val="none" w:sz="0" w:space="0" w:color="auto"/>
                                                        <w:bottom w:val="none" w:sz="0" w:space="0" w:color="auto"/>
                                                        <w:right w:val="none" w:sz="0" w:space="0" w:color="auto"/>
                                                      </w:divBdr>
                                                      <w:divsChild>
                                                        <w:div w:id="332103072">
                                                          <w:marLeft w:val="0"/>
                                                          <w:marRight w:val="0"/>
                                                          <w:marTop w:val="0"/>
                                                          <w:marBottom w:val="0"/>
                                                          <w:divBdr>
                                                            <w:top w:val="none" w:sz="0" w:space="0" w:color="auto"/>
                                                            <w:left w:val="none" w:sz="0" w:space="0" w:color="auto"/>
                                                            <w:bottom w:val="none" w:sz="0" w:space="0" w:color="auto"/>
                                                            <w:right w:val="none" w:sz="0" w:space="0" w:color="auto"/>
                                                          </w:divBdr>
                                                          <w:divsChild>
                                                            <w:div w:id="1232042557">
                                                              <w:marLeft w:val="0"/>
                                                              <w:marRight w:val="150"/>
                                                              <w:marTop w:val="0"/>
                                                              <w:marBottom w:val="150"/>
                                                              <w:divBdr>
                                                                <w:top w:val="none" w:sz="0" w:space="0" w:color="auto"/>
                                                                <w:left w:val="none" w:sz="0" w:space="0" w:color="auto"/>
                                                                <w:bottom w:val="none" w:sz="0" w:space="0" w:color="auto"/>
                                                                <w:right w:val="none" w:sz="0" w:space="0" w:color="auto"/>
                                                              </w:divBdr>
                                                              <w:divsChild>
                                                                <w:div w:id="186987839">
                                                                  <w:marLeft w:val="0"/>
                                                                  <w:marRight w:val="0"/>
                                                                  <w:marTop w:val="0"/>
                                                                  <w:marBottom w:val="0"/>
                                                                  <w:divBdr>
                                                                    <w:top w:val="none" w:sz="0" w:space="0" w:color="auto"/>
                                                                    <w:left w:val="none" w:sz="0" w:space="0" w:color="auto"/>
                                                                    <w:bottom w:val="none" w:sz="0" w:space="0" w:color="auto"/>
                                                                    <w:right w:val="none" w:sz="0" w:space="0" w:color="auto"/>
                                                                  </w:divBdr>
                                                                  <w:divsChild>
                                                                    <w:div w:id="96561470">
                                                                      <w:marLeft w:val="0"/>
                                                                      <w:marRight w:val="0"/>
                                                                      <w:marTop w:val="0"/>
                                                                      <w:marBottom w:val="0"/>
                                                                      <w:divBdr>
                                                                        <w:top w:val="none" w:sz="0" w:space="0" w:color="auto"/>
                                                                        <w:left w:val="none" w:sz="0" w:space="0" w:color="auto"/>
                                                                        <w:bottom w:val="none" w:sz="0" w:space="0" w:color="auto"/>
                                                                        <w:right w:val="none" w:sz="0" w:space="0" w:color="auto"/>
                                                                      </w:divBdr>
                                                                      <w:divsChild>
                                                                        <w:div w:id="248733019">
                                                                          <w:marLeft w:val="0"/>
                                                                          <w:marRight w:val="0"/>
                                                                          <w:marTop w:val="0"/>
                                                                          <w:marBottom w:val="0"/>
                                                                          <w:divBdr>
                                                                            <w:top w:val="none" w:sz="0" w:space="0" w:color="auto"/>
                                                                            <w:left w:val="none" w:sz="0" w:space="0" w:color="auto"/>
                                                                            <w:bottom w:val="none" w:sz="0" w:space="0" w:color="auto"/>
                                                                            <w:right w:val="none" w:sz="0" w:space="0" w:color="auto"/>
                                                                          </w:divBdr>
                                                                          <w:divsChild>
                                                                            <w:div w:id="1574899270">
                                                                              <w:marLeft w:val="0"/>
                                                                              <w:marRight w:val="0"/>
                                                                              <w:marTop w:val="0"/>
                                                                              <w:marBottom w:val="0"/>
                                                                              <w:divBdr>
                                                                                <w:top w:val="none" w:sz="0" w:space="0" w:color="auto"/>
                                                                                <w:left w:val="none" w:sz="0" w:space="0" w:color="auto"/>
                                                                                <w:bottom w:val="none" w:sz="0" w:space="0" w:color="auto"/>
                                                                                <w:right w:val="none" w:sz="0" w:space="0" w:color="auto"/>
                                                                              </w:divBdr>
                                                                              <w:divsChild>
                                                                                <w:div w:id="1927422877">
                                                                                  <w:marLeft w:val="0"/>
                                                                                  <w:marRight w:val="0"/>
                                                                                  <w:marTop w:val="0"/>
                                                                                  <w:marBottom w:val="0"/>
                                                                                  <w:divBdr>
                                                                                    <w:top w:val="none" w:sz="0" w:space="0" w:color="auto"/>
                                                                                    <w:left w:val="none" w:sz="0" w:space="0" w:color="auto"/>
                                                                                    <w:bottom w:val="none" w:sz="0" w:space="0" w:color="auto"/>
                                                                                    <w:right w:val="none" w:sz="0" w:space="0" w:color="auto"/>
                                                                                  </w:divBdr>
                                                                                  <w:divsChild>
                                                                                    <w:div w:id="189496104">
                                                                                      <w:marLeft w:val="0"/>
                                                                                      <w:marRight w:val="0"/>
                                                                                      <w:marTop w:val="0"/>
                                                                                      <w:marBottom w:val="0"/>
                                                                                      <w:divBdr>
                                                                                        <w:top w:val="none" w:sz="0" w:space="0" w:color="auto"/>
                                                                                        <w:left w:val="none" w:sz="0" w:space="0" w:color="auto"/>
                                                                                        <w:bottom w:val="none" w:sz="0" w:space="0" w:color="auto"/>
                                                                                        <w:right w:val="none" w:sz="0" w:space="0" w:color="auto"/>
                                                                                      </w:divBdr>
                                                                                    </w:div>
                                                                                    <w:div w:id="479999920">
                                                                                      <w:marLeft w:val="0"/>
                                                                                      <w:marRight w:val="0"/>
                                                                                      <w:marTop w:val="0"/>
                                                                                      <w:marBottom w:val="0"/>
                                                                                      <w:divBdr>
                                                                                        <w:top w:val="none" w:sz="0" w:space="0" w:color="auto"/>
                                                                                        <w:left w:val="none" w:sz="0" w:space="0" w:color="auto"/>
                                                                                        <w:bottom w:val="none" w:sz="0" w:space="0" w:color="auto"/>
                                                                                        <w:right w:val="none" w:sz="0" w:space="0" w:color="auto"/>
                                                                                      </w:divBdr>
                                                                                    </w:div>
                                                                                    <w:div w:id="598366234">
                                                                                      <w:marLeft w:val="0"/>
                                                                                      <w:marRight w:val="0"/>
                                                                                      <w:marTop w:val="0"/>
                                                                                      <w:marBottom w:val="0"/>
                                                                                      <w:divBdr>
                                                                                        <w:top w:val="none" w:sz="0" w:space="0" w:color="auto"/>
                                                                                        <w:left w:val="none" w:sz="0" w:space="0" w:color="auto"/>
                                                                                        <w:bottom w:val="none" w:sz="0" w:space="0" w:color="auto"/>
                                                                                        <w:right w:val="none" w:sz="0" w:space="0" w:color="auto"/>
                                                                                      </w:divBdr>
                                                                                    </w:div>
                                                                                    <w:div w:id="726075858">
                                                                                      <w:marLeft w:val="0"/>
                                                                                      <w:marRight w:val="0"/>
                                                                                      <w:marTop w:val="0"/>
                                                                                      <w:marBottom w:val="0"/>
                                                                                      <w:divBdr>
                                                                                        <w:top w:val="none" w:sz="0" w:space="0" w:color="auto"/>
                                                                                        <w:left w:val="none" w:sz="0" w:space="0" w:color="auto"/>
                                                                                        <w:bottom w:val="none" w:sz="0" w:space="0" w:color="auto"/>
                                                                                        <w:right w:val="none" w:sz="0" w:space="0" w:color="auto"/>
                                                                                      </w:divBdr>
                                                                                    </w:div>
                                                                                    <w:div w:id="891230604">
                                                                                      <w:marLeft w:val="0"/>
                                                                                      <w:marRight w:val="0"/>
                                                                                      <w:marTop w:val="0"/>
                                                                                      <w:marBottom w:val="0"/>
                                                                                      <w:divBdr>
                                                                                        <w:top w:val="none" w:sz="0" w:space="0" w:color="auto"/>
                                                                                        <w:left w:val="none" w:sz="0" w:space="0" w:color="auto"/>
                                                                                        <w:bottom w:val="none" w:sz="0" w:space="0" w:color="auto"/>
                                                                                        <w:right w:val="none" w:sz="0" w:space="0" w:color="auto"/>
                                                                                      </w:divBdr>
                                                                                    </w:div>
                                                                                    <w:div w:id="929123818">
                                                                                      <w:marLeft w:val="0"/>
                                                                                      <w:marRight w:val="0"/>
                                                                                      <w:marTop w:val="0"/>
                                                                                      <w:marBottom w:val="0"/>
                                                                                      <w:divBdr>
                                                                                        <w:top w:val="none" w:sz="0" w:space="0" w:color="auto"/>
                                                                                        <w:left w:val="none" w:sz="0" w:space="0" w:color="auto"/>
                                                                                        <w:bottom w:val="none" w:sz="0" w:space="0" w:color="auto"/>
                                                                                        <w:right w:val="none" w:sz="0" w:space="0" w:color="auto"/>
                                                                                      </w:divBdr>
                                                                                    </w:div>
                                                                                    <w:div w:id="15459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38895">
      <w:bodyDiv w:val="1"/>
      <w:marLeft w:val="0"/>
      <w:marRight w:val="0"/>
      <w:marTop w:val="0"/>
      <w:marBottom w:val="0"/>
      <w:divBdr>
        <w:top w:val="none" w:sz="0" w:space="0" w:color="auto"/>
        <w:left w:val="none" w:sz="0" w:space="0" w:color="auto"/>
        <w:bottom w:val="none" w:sz="0" w:space="0" w:color="auto"/>
        <w:right w:val="none" w:sz="0" w:space="0" w:color="auto"/>
      </w:divBdr>
    </w:div>
    <w:div w:id="201137966">
      <w:bodyDiv w:val="1"/>
      <w:marLeft w:val="0"/>
      <w:marRight w:val="0"/>
      <w:marTop w:val="0"/>
      <w:marBottom w:val="0"/>
      <w:divBdr>
        <w:top w:val="none" w:sz="0" w:space="0" w:color="auto"/>
        <w:left w:val="none" w:sz="0" w:space="0" w:color="auto"/>
        <w:bottom w:val="none" w:sz="0" w:space="0" w:color="auto"/>
        <w:right w:val="none" w:sz="0" w:space="0" w:color="auto"/>
      </w:divBdr>
    </w:div>
    <w:div w:id="201751177">
      <w:bodyDiv w:val="1"/>
      <w:marLeft w:val="0"/>
      <w:marRight w:val="0"/>
      <w:marTop w:val="0"/>
      <w:marBottom w:val="0"/>
      <w:divBdr>
        <w:top w:val="none" w:sz="0" w:space="0" w:color="auto"/>
        <w:left w:val="none" w:sz="0" w:space="0" w:color="auto"/>
        <w:bottom w:val="none" w:sz="0" w:space="0" w:color="auto"/>
        <w:right w:val="none" w:sz="0" w:space="0" w:color="auto"/>
      </w:divBdr>
    </w:div>
    <w:div w:id="213321329">
      <w:bodyDiv w:val="1"/>
      <w:marLeft w:val="0"/>
      <w:marRight w:val="0"/>
      <w:marTop w:val="0"/>
      <w:marBottom w:val="0"/>
      <w:divBdr>
        <w:top w:val="none" w:sz="0" w:space="0" w:color="auto"/>
        <w:left w:val="none" w:sz="0" w:space="0" w:color="auto"/>
        <w:bottom w:val="none" w:sz="0" w:space="0" w:color="auto"/>
        <w:right w:val="none" w:sz="0" w:space="0" w:color="auto"/>
      </w:divBdr>
    </w:div>
    <w:div w:id="232157451">
      <w:bodyDiv w:val="1"/>
      <w:marLeft w:val="0"/>
      <w:marRight w:val="0"/>
      <w:marTop w:val="0"/>
      <w:marBottom w:val="0"/>
      <w:divBdr>
        <w:top w:val="none" w:sz="0" w:space="0" w:color="auto"/>
        <w:left w:val="none" w:sz="0" w:space="0" w:color="auto"/>
        <w:bottom w:val="none" w:sz="0" w:space="0" w:color="auto"/>
        <w:right w:val="none" w:sz="0" w:space="0" w:color="auto"/>
      </w:divBdr>
    </w:div>
    <w:div w:id="249656793">
      <w:bodyDiv w:val="1"/>
      <w:marLeft w:val="0"/>
      <w:marRight w:val="0"/>
      <w:marTop w:val="0"/>
      <w:marBottom w:val="0"/>
      <w:divBdr>
        <w:top w:val="none" w:sz="0" w:space="0" w:color="auto"/>
        <w:left w:val="none" w:sz="0" w:space="0" w:color="auto"/>
        <w:bottom w:val="none" w:sz="0" w:space="0" w:color="auto"/>
        <w:right w:val="none" w:sz="0" w:space="0" w:color="auto"/>
      </w:divBdr>
    </w:div>
    <w:div w:id="271013352">
      <w:bodyDiv w:val="1"/>
      <w:marLeft w:val="0"/>
      <w:marRight w:val="0"/>
      <w:marTop w:val="0"/>
      <w:marBottom w:val="0"/>
      <w:divBdr>
        <w:top w:val="none" w:sz="0" w:space="0" w:color="auto"/>
        <w:left w:val="none" w:sz="0" w:space="0" w:color="auto"/>
        <w:bottom w:val="none" w:sz="0" w:space="0" w:color="auto"/>
        <w:right w:val="none" w:sz="0" w:space="0" w:color="auto"/>
      </w:divBdr>
    </w:div>
    <w:div w:id="276186333">
      <w:bodyDiv w:val="1"/>
      <w:marLeft w:val="0"/>
      <w:marRight w:val="0"/>
      <w:marTop w:val="0"/>
      <w:marBottom w:val="0"/>
      <w:divBdr>
        <w:top w:val="none" w:sz="0" w:space="0" w:color="auto"/>
        <w:left w:val="none" w:sz="0" w:space="0" w:color="auto"/>
        <w:bottom w:val="none" w:sz="0" w:space="0" w:color="auto"/>
        <w:right w:val="none" w:sz="0" w:space="0" w:color="auto"/>
      </w:divBdr>
    </w:div>
    <w:div w:id="283777021">
      <w:bodyDiv w:val="1"/>
      <w:marLeft w:val="0"/>
      <w:marRight w:val="0"/>
      <w:marTop w:val="0"/>
      <w:marBottom w:val="0"/>
      <w:divBdr>
        <w:top w:val="none" w:sz="0" w:space="0" w:color="auto"/>
        <w:left w:val="none" w:sz="0" w:space="0" w:color="auto"/>
        <w:bottom w:val="none" w:sz="0" w:space="0" w:color="auto"/>
        <w:right w:val="none" w:sz="0" w:space="0" w:color="auto"/>
      </w:divBdr>
    </w:div>
    <w:div w:id="349919628">
      <w:bodyDiv w:val="1"/>
      <w:marLeft w:val="0"/>
      <w:marRight w:val="0"/>
      <w:marTop w:val="0"/>
      <w:marBottom w:val="0"/>
      <w:divBdr>
        <w:top w:val="none" w:sz="0" w:space="0" w:color="auto"/>
        <w:left w:val="none" w:sz="0" w:space="0" w:color="auto"/>
        <w:bottom w:val="none" w:sz="0" w:space="0" w:color="auto"/>
        <w:right w:val="none" w:sz="0" w:space="0" w:color="auto"/>
      </w:divBdr>
    </w:div>
    <w:div w:id="366759358">
      <w:marLeft w:val="0"/>
      <w:marRight w:val="0"/>
      <w:marTop w:val="0"/>
      <w:marBottom w:val="0"/>
      <w:divBdr>
        <w:top w:val="none" w:sz="0" w:space="0" w:color="auto"/>
        <w:left w:val="none" w:sz="0" w:space="0" w:color="auto"/>
        <w:bottom w:val="none" w:sz="0" w:space="0" w:color="auto"/>
        <w:right w:val="none" w:sz="0" w:space="0" w:color="auto"/>
      </w:divBdr>
      <w:divsChild>
        <w:div w:id="366759347">
          <w:marLeft w:val="274"/>
          <w:marRight w:val="0"/>
          <w:marTop w:val="0"/>
          <w:marBottom w:val="0"/>
          <w:divBdr>
            <w:top w:val="none" w:sz="0" w:space="0" w:color="auto"/>
            <w:left w:val="none" w:sz="0" w:space="0" w:color="auto"/>
            <w:bottom w:val="none" w:sz="0" w:space="0" w:color="auto"/>
            <w:right w:val="none" w:sz="0" w:space="0" w:color="auto"/>
          </w:divBdr>
        </w:div>
        <w:div w:id="366759348">
          <w:marLeft w:val="86"/>
          <w:marRight w:val="0"/>
          <w:marTop w:val="0"/>
          <w:marBottom w:val="0"/>
          <w:divBdr>
            <w:top w:val="none" w:sz="0" w:space="0" w:color="auto"/>
            <w:left w:val="none" w:sz="0" w:space="0" w:color="auto"/>
            <w:bottom w:val="none" w:sz="0" w:space="0" w:color="auto"/>
            <w:right w:val="none" w:sz="0" w:space="0" w:color="auto"/>
          </w:divBdr>
        </w:div>
        <w:div w:id="366759349">
          <w:marLeft w:val="86"/>
          <w:marRight w:val="0"/>
          <w:marTop w:val="0"/>
          <w:marBottom w:val="0"/>
          <w:divBdr>
            <w:top w:val="none" w:sz="0" w:space="0" w:color="auto"/>
            <w:left w:val="none" w:sz="0" w:space="0" w:color="auto"/>
            <w:bottom w:val="none" w:sz="0" w:space="0" w:color="auto"/>
            <w:right w:val="none" w:sz="0" w:space="0" w:color="auto"/>
          </w:divBdr>
        </w:div>
        <w:div w:id="366759350">
          <w:marLeft w:val="274"/>
          <w:marRight w:val="0"/>
          <w:marTop w:val="0"/>
          <w:marBottom w:val="0"/>
          <w:divBdr>
            <w:top w:val="none" w:sz="0" w:space="0" w:color="auto"/>
            <w:left w:val="none" w:sz="0" w:space="0" w:color="auto"/>
            <w:bottom w:val="none" w:sz="0" w:space="0" w:color="auto"/>
            <w:right w:val="none" w:sz="0" w:space="0" w:color="auto"/>
          </w:divBdr>
        </w:div>
        <w:div w:id="366759351">
          <w:marLeft w:val="86"/>
          <w:marRight w:val="0"/>
          <w:marTop w:val="0"/>
          <w:marBottom w:val="0"/>
          <w:divBdr>
            <w:top w:val="none" w:sz="0" w:space="0" w:color="auto"/>
            <w:left w:val="none" w:sz="0" w:space="0" w:color="auto"/>
            <w:bottom w:val="none" w:sz="0" w:space="0" w:color="auto"/>
            <w:right w:val="none" w:sz="0" w:space="0" w:color="auto"/>
          </w:divBdr>
        </w:div>
        <w:div w:id="366759352">
          <w:marLeft w:val="274"/>
          <w:marRight w:val="0"/>
          <w:marTop w:val="0"/>
          <w:marBottom w:val="0"/>
          <w:divBdr>
            <w:top w:val="none" w:sz="0" w:space="0" w:color="auto"/>
            <w:left w:val="none" w:sz="0" w:space="0" w:color="auto"/>
            <w:bottom w:val="none" w:sz="0" w:space="0" w:color="auto"/>
            <w:right w:val="none" w:sz="0" w:space="0" w:color="auto"/>
          </w:divBdr>
        </w:div>
        <w:div w:id="366759353">
          <w:marLeft w:val="86"/>
          <w:marRight w:val="0"/>
          <w:marTop w:val="0"/>
          <w:marBottom w:val="0"/>
          <w:divBdr>
            <w:top w:val="none" w:sz="0" w:space="0" w:color="auto"/>
            <w:left w:val="none" w:sz="0" w:space="0" w:color="auto"/>
            <w:bottom w:val="none" w:sz="0" w:space="0" w:color="auto"/>
            <w:right w:val="none" w:sz="0" w:space="0" w:color="auto"/>
          </w:divBdr>
        </w:div>
        <w:div w:id="366759354">
          <w:marLeft w:val="86"/>
          <w:marRight w:val="0"/>
          <w:marTop w:val="0"/>
          <w:marBottom w:val="0"/>
          <w:divBdr>
            <w:top w:val="none" w:sz="0" w:space="0" w:color="auto"/>
            <w:left w:val="none" w:sz="0" w:space="0" w:color="auto"/>
            <w:bottom w:val="none" w:sz="0" w:space="0" w:color="auto"/>
            <w:right w:val="none" w:sz="0" w:space="0" w:color="auto"/>
          </w:divBdr>
        </w:div>
        <w:div w:id="366759355">
          <w:marLeft w:val="274"/>
          <w:marRight w:val="0"/>
          <w:marTop w:val="0"/>
          <w:marBottom w:val="0"/>
          <w:divBdr>
            <w:top w:val="none" w:sz="0" w:space="0" w:color="auto"/>
            <w:left w:val="none" w:sz="0" w:space="0" w:color="auto"/>
            <w:bottom w:val="none" w:sz="0" w:space="0" w:color="auto"/>
            <w:right w:val="none" w:sz="0" w:space="0" w:color="auto"/>
          </w:divBdr>
        </w:div>
        <w:div w:id="366759356">
          <w:marLeft w:val="86"/>
          <w:marRight w:val="0"/>
          <w:marTop w:val="0"/>
          <w:marBottom w:val="0"/>
          <w:divBdr>
            <w:top w:val="none" w:sz="0" w:space="0" w:color="auto"/>
            <w:left w:val="none" w:sz="0" w:space="0" w:color="auto"/>
            <w:bottom w:val="none" w:sz="0" w:space="0" w:color="auto"/>
            <w:right w:val="none" w:sz="0" w:space="0" w:color="auto"/>
          </w:divBdr>
        </w:div>
        <w:div w:id="366759357">
          <w:marLeft w:val="274"/>
          <w:marRight w:val="0"/>
          <w:marTop w:val="0"/>
          <w:marBottom w:val="0"/>
          <w:divBdr>
            <w:top w:val="none" w:sz="0" w:space="0" w:color="auto"/>
            <w:left w:val="none" w:sz="0" w:space="0" w:color="auto"/>
            <w:bottom w:val="none" w:sz="0" w:space="0" w:color="auto"/>
            <w:right w:val="none" w:sz="0" w:space="0" w:color="auto"/>
          </w:divBdr>
        </w:div>
        <w:div w:id="366759359">
          <w:marLeft w:val="274"/>
          <w:marRight w:val="0"/>
          <w:marTop w:val="0"/>
          <w:marBottom w:val="0"/>
          <w:divBdr>
            <w:top w:val="none" w:sz="0" w:space="0" w:color="auto"/>
            <w:left w:val="none" w:sz="0" w:space="0" w:color="auto"/>
            <w:bottom w:val="none" w:sz="0" w:space="0" w:color="auto"/>
            <w:right w:val="none" w:sz="0" w:space="0" w:color="auto"/>
          </w:divBdr>
        </w:div>
      </w:divsChild>
    </w:div>
    <w:div w:id="384304876">
      <w:bodyDiv w:val="1"/>
      <w:marLeft w:val="0"/>
      <w:marRight w:val="0"/>
      <w:marTop w:val="0"/>
      <w:marBottom w:val="0"/>
      <w:divBdr>
        <w:top w:val="none" w:sz="0" w:space="0" w:color="auto"/>
        <w:left w:val="none" w:sz="0" w:space="0" w:color="auto"/>
        <w:bottom w:val="none" w:sz="0" w:space="0" w:color="auto"/>
        <w:right w:val="none" w:sz="0" w:space="0" w:color="auto"/>
      </w:divBdr>
    </w:div>
    <w:div w:id="445974723">
      <w:bodyDiv w:val="1"/>
      <w:marLeft w:val="0"/>
      <w:marRight w:val="0"/>
      <w:marTop w:val="0"/>
      <w:marBottom w:val="0"/>
      <w:divBdr>
        <w:top w:val="none" w:sz="0" w:space="0" w:color="auto"/>
        <w:left w:val="none" w:sz="0" w:space="0" w:color="auto"/>
        <w:bottom w:val="none" w:sz="0" w:space="0" w:color="auto"/>
        <w:right w:val="none" w:sz="0" w:space="0" w:color="auto"/>
      </w:divBdr>
    </w:div>
    <w:div w:id="474416807">
      <w:bodyDiv w:val="1"/>
      <w:marLeft w:val="0"/>
      <w:marRight w:val="0"/>
      <w:marTop w:val="0"/>
      <w:marBottom w:val="0"/>
      <w:divBdr>
        <w:top w:val="none" w:sz="0" w:space="0" w:color="auto"/>
        <w:left w:val="none" w:sz="0" w:space="0" w:color="auto"/>
        <w:bottom w:val="none" w:sz="0" w:space="0" w:color="auto"/>
        <w:right w:val="none" w:sz="0" w:space="0" w:color="auto"/>
      </w:divBdr>
    </w:div>
    <w:div w:id="476999637">
      <w:bodyDiv w:val="1"/>
      <w:marLeft w:val="0"/>
      <w:marRight w:val="0"/>
      <w:marTop w:val="0"/>
      <w:marBottom w:val="0"/>
      <w:divBdr>
        <w:top w:val="none" w:sz="0" w:space="0" w:color="auto"/>
        <w:left w:val="none" w:sz="0" w:space="0" w:color="auto"/>
        <w:bottom w:val="none" w:sz="0" w:space="0" w:color="auto"/>
        <w:right w:val="none" w:sz="0" w:space="0" w:color="auto"/>
      </w:divBdr>
    </w:div>
    <w:div w:id="488131219">
      <w:bodyDiv w:val="1"/>
      <w:marLeft w:val="0"/>
      <w:marRight w:val="0"/>
      <w:marTop w:val="0"/>
      <w:marBottom w:val="0"/>
      <w:divBdr>
        <w:top w:val="none" w:sz="0" w:space="0" w:color="auto"/>
        <w:left w:val="none" w:sz="0" w:space="0" w:color="auto"/>
        <w:bottom w:val="none" w:sz="0" w:space="0" w:color="auto"/>
        <w:right w:val="none" w:sz="0" w:space="0" w:color="auto"/>
      </w:divBdr>
    </w:div>
    <w:div w:id="510680693">
      <w:bodyDiv w:val="1"/>
      <w:marLeft w:val="0"/>
      <w:marRight w:val="0"/>
      <w:marTop w:val="0"/>
      <w:marBottom w:val="0"/>
      <w:divBdr>
        <w:top w:val="none" w:sz="0" w:space="0" w:color="auto"/>
        <w:left w:val="none" w:sz="0" w:space="0" w:color="auto"/>
        <w:bottom w:val="none" w:sz="0" w:space="0" w:color="auto"/>
        <w:right w:val="none" w:sz="0" w:space="0" w:color="auto"/>
      </w:divBdr>
    </w:div>
    <w:div w:id="525562750">
      <w:bodyDiv w:val="1"/>
      <w:marLeft w:val="0"/>
      <w:marRight w:val="0"/>
      <w:marTop w:val="0"/>
      <w:marBottom w:val="0"/>
      <w:divBdr>
        <w:top w:val="none" w:sz="0" w:space="0" w:color="auto"/>
        <w:left w:val="none" w:sz="0" w:space="0" w:color="auto"/>
        <w:bottom w:val="none" w:sz="0" w:space="0" w:color="auto"/>
        <w:right w:val="none" w:sz="0" w:space="0" w:color="auto"/>
      </w:divBdr>
    </w:div>
    <w:div w:id="528833346">
      <w:bodyDiv w:val="1"/>
      <w:marLeft w:val="0"/>
      <w:marRight w:val="0"/>
      <w:marTop w:val="0"/>
      <w:marBottom w:val="0"/>
      <w:divBdr>
        <w:top w:val="none" w:sz="0" w:space="0" w:color="auto"/>
        <w:left w:val="none" w:sz="0" w:space="0" w:color="auto"/>
        <w:bottom w:val="none" w:sz="0" w:space="0" w:color="auto"/>
        <w:right w:val="none" w:sz="0" w:space="0" w:color="auto"/>
      </w:divBdr>
    </w:div>
    <w:div w:id="546452399">
      <w:bodyDiv w:val="1"/>
      <w:marLeft w:val="0"/>
      <w:marRight w:val="0"/>
      <w:marTop w:val="0"/>
      <w:marBottom w:val="0"/>
      <w:divBdr>
        <w:top w:val="none" w:sz="0" w:space="0" w:color="auto"/>
        <w:left w:val="none" w:sz="0" w:space="0" w:color="auto"/>
        <w:bottom w:val="none" w:sz="0" w:space="0" w:color="auto"/>
        <w:right w:val="none" w:sz="0" w:space="0" w:color="auto"/>
      </w:divBdr>
    </w:div>
    <w:div w:id="559631881">
      <w:bodyDiv w:val="1"/>
      <w:marLeft w:val="0"/>
      <w:marRight w:val="0"/>
      <w:marTop w:val="0"/>
      <w:marBottom w:val="0"/>
      <w:divBdr>
        <w:top w:val="none" w:sz="0" w:space="0" w:color="auto"/>
        <w:left w:val="none" w:sz="0" w:space="0" w:color="auto"/>
        <w:bottom w:val="none" w:sz="0" w:space="0" w:color="auto"/>
        <w:right w:val="none" w:sz="0" w:space="0" w:color="auto"/>
      </w:divBdr>
    </w:div>
    <w:div w:id="606082037">
      <w:bodyDiv w:val="1"/>
      <w:marLeft w:val="0"/>
      <w:marRight w:val="0"/>
      <w:marTop w:val="0"/>
      <w:marBottom w:val="0"/>
      <w:divBdr>
        <w:top w:val="none" w:sz="0" w:space="0" w:color="auto"/>
        <w:left w:val="none" w:sz="0" w:space="0" w:color="auto"/>
        <w:bottom w:val="none" w:sz="0" w:space="0" w:color="auto"/>
        <w:right w:val="none" w:sz="0" w:space="0" w:color="auto"/>
      </w:divBdr>
    </w:div>
    <w:div w:id="612831131">
      <w:bodyDiv w:val="1"/>
      <w:marLeft w:val="0"/>
      <w:marRight w:val="0"/>
      <w:marTop w:val="0"/>
      <w:marBottom w:val="0"/>
      <w:divBdr>
        <w:top w:val="none" w:sz="0" w:space="0" w:color="auto"/>
        <w:left w:val="none" w:sz="0" w:space="0" w:color="auto"/>
        <w:bottom w:val="none" w:sz="0" w:space="0" w:color="auto"/>
        <w:right w:val="none" w:sz="0" w:space="0" w:color="auto"/>
      </w:divBdr>
    </w:div>
    <w:div w:id="620186317">
      <w:bodyDiv w:val="1"/>
      <w:marLeft w:val="0"/>
      <w:marRight w:val="0"/>
      <w:marTop w:val="0"/>
      <w:marBottom w:val="0"/>
      <w:divBdr>
        <w:top w:val="none" w:sz="0" w:space="0" w:color="auto"/>
        <w:left w:val="none" w:sz="0" w:space="0" w:color="auto"/>
        <w:bottom w:val="none" w:sz="0" w:space="0" w:color="auto"/>
        <w:right w:val="none" w:sz="0" w:space="0" w:color="auto"/>
      </w:divBdr>
    </w:div>
    <w:div w:id="648830112">
      <w:bodyDiv w:val="1"/>
      <w:marLeft w:val="0"/>
      <w:marRight w:val="0"/>
      <w:marTop w:val="0"/>
      <w:marBottom w:val="0"/>
      <w:divBdr>
        <w:top w:val="none" w:sz="0" w:space="0" w:color="auto"/>
        <w:left w:val="none" w:sz="0" w:space="0" w:color="auto"/>
        <w:bottom w:val="none" w:sz="0" w:space="0" w:color="auto"/>
        <w:right w:val="none" w:sz="0" w:space="0" w:color="auto"/>
      </w:divBdr>
    </w:div>
    <w:div w:id="650328464">
      <w:bodyDiv w:val="1"/>
      <w:marLeft w:val="0"/>
      <w:marRight w:val="0"/>
      <w:marTop w:val="0"/>
      <w:marBottom w:val="0"/>
      <w:divBdr>
        <w:top w:val="none" w:sz="0" w:space="0" w:color="auto"/>
        <w:left w:val="none" w:sz="0" w:space="0" w:color="auto"/>
        <w:bottom w:val="none" w:sz="0" w:space="0" w:color="auto"/>
        <w:right w:val="none" w:sz="0" w:space="0" w:color="auto"/>
      </w:divBdr>
    </w:div>
    <w:div w:id="655258600">
      <w:bodyDiv w:val="1"/>
      <w:marLeft w:val="0"/>
      <w:marRight w:val="0"/>
      <w:marTop w:val="0"/>
      <w:marBottom w:val="0"/>
      <w:divBdr>
        <w:top w:val="none" w:sz="0" w:space="0" w:color="auto"/>
        <w:left w:val="none" w:sz="0" w:space="0" w:color="auto"/>
        <w:bottom w:val="none" w:sz="0" w:space="0" w:color="auto"/>
        <w:right w:val="none" w:sz="0" w:space="0" w:color="auto"/>
      </w:divBdr>
    </w:div>
    <w:div w:id="668220216">
      <w:bodyDiv w:val="1"/>
      <w:marLeft w:val="0"/>
      <w:marRight w:val="0"/>
      <w:marTop w:val="0"/>
      <w:marBottom w:val="0"/>
      <w:divBdr>
        <w:top w:val="none" w:sz="0" w:space="0" w:color="auto"/>
        <w:left w:val="none" w:sz="0" w:space="0" w:color="auto"/>
        <w:bottom w:val="none" w:sz="0" w:space="0" w:color="auto"/>
        <w:right w:val="none" w:sz="0" w:space="0" w:color="auto"/>
      </w:divBdr>
      <w:divsChild>
        <w:div w:id="209191850">
          <w:marLeft w:val="0"/>
          <w:marRight w:val="0"/>
          <w:marTop w:val="0"/>
          <w:marBottom w:val="0"/>
          <w:divBdr>
            <w:top w:val="none" w:sz="0" w:space="0" w:color="auto"/>
            <w:left w:val="none" w:sz="0" w:space="0" w:color="auto"/>
            <w:bottom w:val="none" w:sz="0" w:space="0" w:color="auto"/>
            <w:right w:val="none" w:sz="0" w:space="0" w:color="auto"/>
          </w:divBdr>
        </w:div>
      </w:divsChild>
    </w:div>
    <w:div w:id="679740570">
      <w:bodyDiv w:val="1"/>
      <w:marLeft w:val="0"/>
      <w:marRight w:val="0"/>
      <w:marTop w:val="0"/>
      <w:marBottom w:val="0"/>
      <w:divBdr>
        <w:top w:val="none" w:sz="0" w:space="0" w:color="auto"/>
        <w:left w:val="none" w:sz="0" w:space="0" w:color="auto"/>
        <w:bottom w:val="none" w:sz="0" w:space="0" w:color="auto"/>
        <w:right w:val="none" w:sz="0" w:space="0" w:color="auto"/>
      </w:divBdr>
    </w:div>
    <w:div w:id="699016090">
      <w:bodyDiv w:val="1"/>
      <w:marLeft w:val="0"/>
      <w:marRight w:val="0"/>
      <w:marTop w:val="0"/>
      <w:marBottom w:val="0"/>
      <w:divBdr>
        <w:top w:val="none" w:sz="0" w:space="0" w:color="auto"/>
        <w:left w:val="none" w:sz="0" w:space="0" w:color="auto"/>
        <w:bottom w:val="none" w:sz="0" w:space="0" w:color="auto"/>
        <w:right w:val="none" w:sz="0" w:space="0" w:color="auto"/>
      </w:divBdr>
    </w:div>
    <w:div w:id="707800087">
      <w:bodyDiv w:val="1"/>
      <w:marLeft w:val="0"/>
      <w:marRight w:val="0"/>
      <w:marTop w:val="0"/>
      <w:marBottom w:val="0"/>
      <w:divBdr>
        <w:top w:val="none" w:sz="0" w:space="0" w:color="auto"/>
        <w:left w:val="none" w:sz="0" w:space="0" w:color="auto"/>
        <w:bottom w:val="none" w:sz="0" w:space="0" w:color="auto"/>
        <w:right w:val="none" w:sz="0" w:space="0" w:color="auto"/>
      </w:divBdr>
    </w:div>
    <w:div w:id="716709924">
      <w:bodyDiv w:val="1"/>
      <w:marLeft w:val="0"/>
      <w:marRight w:val="0"/>
      <w:marTop w:val="0"/>
      <w:marBottom w:val="0"/>
      <w:divBdr>
        <w:top w:val="none" w:sz="0" w:space="0" w:color="auto"/>
        <w:left w:val="none" w:sz="0" w:space="0" w:color="auto"/>
        <w:bottom w:val="none" w:sz="0" w:space="0" w:color="auto"/>
        <w:right w:val="none" w:sz="0" w:space="0" w:color="auto"/>
      </w:divBdr>
    </w:div>
    <w:div w:id="724334759">
      <w:bodyDiv w:val="1"/>
      <w:marLeft w:val="0"/>
      <w:marRight w:val="0"/>
      <w:marTop w:val="0"/>
      <w:marBottom w:val="0"/>
      <w:divBdr>
        <w:top w:val="none" w:sz="0" w:space="0" w:color="auto"/>
        <w:left w:val="none" w:sz="0" w:space="0" w:color="auto"/>
        <w:bottom w:val="none" w:sz="0" w:space="0" w:color="auto"/>
        <w:right w:val="none" w:sz="0" w:space="0" w:color="auto"/>
      </w:divBdr>
    </w:div>
    <w:div w:id="737094702">
      <w:bodyDiv w:val="1"/>
      <w:marLeft w:val="0"/>
      <w:marRight w:val="0"/>
      <w:marTop w:val="0"/>
      <w:marBottom w:val="0"/>
      <w:divBdr>
        <w:top w:val="none" w:sz="0" w:space="0" w:color="auto"/>
        <w:left w:val="none" w:sz="0" w:space="0" w:color="auto"/>
        <w:bottom w:val="none" w:sz="0" w:space="0" w:color="auto"/>
        <w:right w:val="none" w:sz="0" w:space="0" w:color="auto"/>
      </w:divBdr>
    </w:div>
    <w:div w:id="758521197">
      <w:bodyDiv w:val="1"/>
      <w:marLeft w:val="0"/>
      <w:marRight w:val="0"/>
      <w:marTop w:val="0"/>
      <w:marBottom w:val="0"/>
      <w:divBdr>
        <w:top w:val="none" w:sz="0" w:space="0" w:color="auto"/>
        <w:left w:val="none" w:sz="0" w:space="0" w:color="auto"/>
        <w:bottom w:val="none" w:sz="0" w:space="0" w:color="auto"/>
        <w:right w:val="none" w:sz="0" w:space="0" w:color="auto"/>
      </w:divBdr>
    </w:div>
    <w:div w:id="764573124">
      <w:bodyDiv w:val="1"/>
      <w:marLeft w:val="0"/>
      <w:marRight w:val="0"/>
      <w:marTop w:val="0"/>
      <w:marBottom w:val="0"/>
      <w:divBdr>
        <w:top w:val="none" w:sz="0" w:space="0" w:color="auto"/>
        <w:left w:val="none" w:sz="0" w:space="0" w:color="auto"/>
        <w:bottom w:val="none" w:sz="0" w:space="0" w:color="auto"/>
        <w:right w:val="none" w:sz="0" w:space="0" w:color="auto"/>
      </w:divBdr>
    </w:div>
    <w:div w:id="787432050">
      <w:bodyDiv w:val="1"/>
      <w:marLeft w:val="0"/>
      <w:marRight w:val="0"/>
      <w:marTop w:val="0"/>
      <w:marBottom w:val="0"/>
      <w:divBdr>
        <w:top w:val="none" w:sz="0" w:space="0" w:color="auto"/>
        <w:left w:val="none" w:sz="0" w:space="0" w:color="auto"/>
        <w:bottom w:val="none" w:sz="0" w:space="0" w:color="auto"/>
        <w:right w:val="none" w:sz="0" w:space="0" w:color="auto"/>
      </w:divBdr>
    </w:div>
    <w:div w:id="796290659">
      <w:bodyDiv w:val="1"/>
      <w:marLeft w:val="0"/>
      <w:marRight w:val="0"/>
      <w:marTop w:val="0"/>
      <w:marBottom w:val="0"/>
      <w:divBdr>
        <w:top w:val="none" w:sz="0" w:space="0" w:color="auto"/>
        <w:left w:val="none" w:sz="0" w:space="0" w:color="auto"/>
        <w:bottom w:val="none" w:sz="0" w:space="0" w:color="auto"/>
        <w:right w:val="none" w:sz="0" w:space="0" w:color="auto"/>
      </w:divBdr>
    </w:div>
    <w:div w:id="796411743">
      <w:bodyDiv w:val="1"/>
      <w:marLeft w:val="0"/>
      <w:marRight w:val="0"/>
      <w:marTop w:val="0"/>
      <w:marBottom w:val="0"/>
      <w:divBdr>
        <w:top w:val="none" w:sz="0" w:space="0" w:color="auto"/>
        <w:left w:val="none" w:sz="0" w:space="0" w:color="auto"/>
        <w:bottom w:val="none" w:sz="0" w:space="0" w:color="auto"/>
        <w:right w:val="none" w:sz="0" w:space="0" w:color="auto"/>
      </w:divBdr>
    </w:div>
    <w:div w:id="807868231">
      <w:bodyDiv w:val="1"/>
      <w:marLeft w:val="0"/>
      <w:marRight w:val="0"/>
      <w:marTop w:val="0"/>
      <w:marBottom w:val="0"/>
      <w:divBdr>
        <w:top w:val="none" w:sz="0" w:space="0" w:color="auto"/>
        <w:left w:val="none" w:sz="0" w:space="0" w:color="auto"/>
        <w:bottom w:val="none" w:sz="0" w:space="0" w:color="auto"/>
        <w:right w:val="none" w:sz="0" w:space="0" w:color="auto"/>
      </w:divBdr>
    </w:div>
    <w:div w:id="827940845">
      <w:bodyDiv w:val="1"/>
      <w:marLeft w:val="0"/>
      <w:marRight w:val="0"/>
      <w:marTop w:val="0"/>
      <w:marBottom w:val="0"/>
      <w:divBdr>
        <w:top w:val="none" w:sz="0" w:space="0" w:color="auto"/>
        <w:left w:val="none" w:sz="0" w:space="0" w:color="auto"/>
        <w:bottom w:val="none" w:sz="0" w:space="0" w:color="auto"/>
        <w:right w:val="none" w:sz="0" w:space="0" w:color="auto"/>
      </w:divBdr>
      <w:divsChild>
        <w:div w:id="1333023401">
          <w:marLeft w:val="0"/>
          <w:marRight w:val="0"/>
          <w:marTop w:val="100"/>
          <w:marBottom w:val="100"/>
          <w:divBdr>
            <w:top w:val="none" w:sz="0" w:space="0" w:color="auto"/>
            <w:left w:val="none" w:sz="0" w:space="0" w:color="auto"/>
            <w:bottom w:val="none" w:sz="0" w:space="0" w:color="auto"/>
            <w:right w:val="none" w:sz="0" w:space="0" w:color="auto"/>
          </w:divBdr>
          <w:divsChild>
            <w:div w:id="1216550956">
              <w:marLeft w:val="0"/>
              <w:marRight w:val="0"/>
              <w:marTop w:val="0"/>
              <w:marBottom w:val="0"/>
              <w:divBdr>
                <w:top w:val="none" w:sz="0" w:space="0" w:color="auto"/>
                <w:left w:val="none" w:sz="0" w:space="0" w:color="auto"/>
                <w:bottom w:val="none" w:sz="0" w:space="0" w:color="auto"/>
                <w:right w:val="none" w:sz="0" w:space="0" w:color="auto"/>
              </w:divBdr>
              <w:divsChild>
                <w:div w:id="1126503414">
                  <w:marLeft w:val="0"/>
                  <w:marRight w:val="0"/>
                  <w:marTop w:val="0"/>
                  <w:marBottom w:val="0"/>
                  <w:divBdr>
                    <w:top w:val="none" w:sz="0" w:space="0" w:color="auto"/>
                    <w:left w:val="none" w:sz="0" w:space="0" w:color="auto"/>
                    <w:bottom w:val="none" w:sz="0" w:space="0" w:color="auto"/>
                    <w:right w:val="none" w:sz="0" w:space="0" w:color="auto"/>
                  </w:divBdr>
                  <w:divsChild>
                    <w:div w:id="1995839822">
                      <w:marLeft w:val="0"/>
                      <w:marRight w:val="0"/>
                      <w:marTop w:val="100"/>
                      <w:marBottom w:val="100"/>
                      <w:divBdr>
                        <w:top w:val="none" w:sz="0" w:space="0" w:color="auto"/>
                        <w:left w:val="none" w:sz="0" w:space="0" w:color="auto"/>
                        <w:bottom w:val="none" w:sz="0" w:space="0" w:color="auto"/>
                        <w:right w:val="none" w:sz="0" w:space="0" w:color="auto"/>
                      </w:divBdr>
                      <w:divsChild>
                        <w:div w:id="2130851356">
                          <w:marLeft w:val="0"/>
                          <w:marRight w:val="-14400"/>
                          <w:marTop w:val="0"/>
                          <w:marBottom w:val="0"/>
                          <w:divBdr>
                            <w:top w:val="none" w:sz="0" w:space="0" w:color="auto"/>
                            <w:left w:val="none" w:sz="0" w:space="0" w:color="auto"/>
                            <w:bottom w:val="none" w:sz="0" w:space="0" w:color="auto"/>
                            <w:right w:val="none" w:sz="0" w:space="0" w:color="auto"/>
                          </w:divBdr>
                          <w:divsChild>
                            <w:div w:id="1814758887">
                              <w:marLeft w:val="0"/>
                              <w:marRight w:val="0"/>
                              <w:marTop w:val="0"/>
                              <w:marBottom w:val="0"/>
                              <w:divBdr>
                                <w:top w:val="none" w:sz="0" w:space="0" w:color="auto"/>
                                <w:left w:val="none" w:sz="0" w:space="0" w:color="auto"/>
                                <w:bottom w:val="none" w:sz="0" w:space="0" w:color="auto"/>
                                <w:right w:val="none" w:sz="0" w:space="0" w:color="auto"/>
                              </w:divBdr>
                              <w:divsChild>
                                <w:div w:id="766081195">
                                  <w:marLeft w:val="0"/>
                                  <w:marRight w:val="0"/>
                                  <w:marTop w:val="0"/>
                                  <w:marBottom w:val="0"/>
                                  <w:divBdr>
                                    <w:top w:val="none" w:sz="0" w:space="0" w:color="auto"/>
                                    <w:left w:val="none" w:sz="0" w:space="0" w:color="auto"/>
                                    <w:bottom w:val="none" w:sz="0" w:space="0" w:color="auto"/>
                                    <w:right w:val="none" w:sz="0" w:space="0" w:color="auto"/>
                                  </w:divBdr>
                                  <w:divsChild>
                                    <w:div w:id="1844130293">
                                      <w:marLeft w:val="150"/>
                                      <w:marRight w:val="150"/>
                                      <w:marTop w:val="0"/>
                                      <w:marBottom w:val="0"/>
                                      <w:divBdr>
                                        <w:top w:val="none" w:sz="0" w:space="0" w:color="auto"/>
                                        <w:left w:val="none" w:sz="0" w:space="0" w:color="auto"/>
                                        <w:bottom w:val="none" w:sz="0" w:space="0" w:color="auto"/>
                                        <w:right w:val="none" w:sz="0" w:space="0" w:color="auto"/>
                                      </w:divBdr>
                                      <w:divsChild>
                                        <w:div w:id="664865892">
                                          <w:marLeft w:val="0"/>
                                          <w:marRight w:val="0"/>
                                          <w:marTop w:val="0"/>
                                          <w:marBottom w:val="0"/>
                                          <w:divBdr>
                                            <w:top w:val="none" w:sz="0" w:space="0" w:color="auto"/>
                                            <w:left w:val="none" w:sz="0" w:space="0" w:color="auto"/>
                                            <w:bottom w:val="none" w:sz="0" w:space="0" w:color="auto"/>
                                            <w:right w:val="none" w:sz="0" w:space="0" w:color="auto"/>
                                          </w:divBdr>
                                          <w:divsChild>
                                            <w:div w:id="5929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704196">
      <w:bodyDiv w:val="1"/>
      <w:marLeft w:val="0"/>
      <w:marRight w:val="0"/>
      <w:marTop w:val="0"/>
      <w:marBottom w:val="0"/>
      <w:divBdr>
        <w:top w:val="none" w:sz="0" w:space="0" w:color="auto"/>
        <w:left w:val="none" w:sz="0" w:space="0" w:color="auto"/>
        <w:bottom w:val="none" w:sz="0" w:space="0" w:color="auto"/>
        <w:right w:val="none" w:sz="0" w:space="0" w:color="auto"/>
      </w:divBdr>
    </w:div>
    <w:div w:id="842672654">
      <w:bodyDiv w:val="1"/>
      <w:marLeft w:val="0"/>
      <w:marRight w:val="0"/>
      <w:marTop w:val="0"/>
      <w:marBottom w:val="0"/>
      <w:divBdr>
        <w:top w:val="none" w:sz="0" w:space="0" w:color="auto"/>
        <w:left w:val="none" w:sz="0" w:space="0" w:color="auto"/>
        <w:bottom w:val="none" w:sz="0" w:space="0" w:color="auto"/>
        <w:right w:val="none" w:sz="0" w:space="0" w:color="auto"/>
      </w:divBdr>
    </w:div>
    <w:div w:id="874587051">
      <w:bodyDiv w:val="1"/>
      <w:marLeft w:val="0"/>
      <w:marRight w:val="0"/>
      <w:marTop w:val="0"/>
      <w:marBottom w:val="0"/>
      <w:divBdr>
        <w:top w:val="none" w:sz="0" w:space="0" w:color="auto"/>
        <w:left w:val="none" w:sz="0" w:space="0" w:color="auto"/>
        <w:bottom w:val="none" w:sz="0" w:space="0" w:color="auto"/>
        <w:right w:val="none" w:sz="0" w:space="0" w:color="auto"/>
      </w:divBdr>
    </w:div>
    <w:div w:id="909271938">
      <w:bodyDiv w:val="1"/>
      <w:marLeft w:val="0"/>
      <w:marRight w:val="0"/>
      <w:marTop w:val="0"/>
      <w:marBottom w:val="0"/>
      <w:divBdr>
        <w:top w:val="none" w:sz="0" w:space="0" w:color="auto"/>
        <w:left w:val="none" w:sz="0" w:space="0" w:color="auto"/>
        <w:bottom w:val="none" w:sz="0" w:space="0" w:color="auto"/>
        <w:right w:val="none" w:sz="0" w:space="0" w:color="auto"/>
      </w:divBdr>
    </w:div>
    <w:div w:id="912424444">
      <w:bodyDiv w:val="1"/>
      <w:marLeft w:val="0"/>
      <w:marRight w:val="0"/>
      <w:marTop w:val="0"/>
      <w:marBottom w:val="0"/>
      <w:divBdr>
        <w:top w:val="none" w:sz="0" w:space="0" w:color="auto"/>
        <w:left w:val="none" w:sz="0" w:space="0" w:color="auto"/>
        <w:bottom w:val="none" w:sz="0" w:space="0" w:color="auto"/>
        <w:right w:val="none" w:sz="0" w:space="0" w:color="auto"/>
      </w:divBdr>
    </w:div>
    <w:div w:id="981274175">
      <w:bodyDiv w:val="1"/>
      <w:marLeft w:val="0"/>
      <w:marRight w:val="0"/>
      <w:marTop w:val="0"/>
      <w:marBottom w:val="0"/>
      <w:divBdr>
        <w:top w:val="none" w:sz="0" w:space="0" w:color="auto"/>
        <w:left w:val="none" w:sz="0" w:space="0" w:color="auto"/>
        <w:bottom w:val="none" w:sz="0" w:space="0" w:color="auto"/>
        <w:right w:val="none" w:sz="0" w:space="0" w:color="auto"/>
      </w:divBdr>
    </w:div>
    <w:div w:id="1009287007">
      <w:bodyDiv w:val="1"/>
      <w:marLeft w:val="0"/>
      <w:marRight w:val="0"/>
      <w:marTop w:val="0"/>
      <w:marBottom w:val="0"/>
      <w:divBdr>
        <w:top w:val="none" w:sz="0" w:space="0" w:color="auto"/>
        <w:left w:val="none" w:sz="0" w:space="0" w:color="auto"/>
        <w:bottom w:val="none" w:sz="0" w:space="0" w:color="auto"/>
        <w:right w:val="none" w:sz="0" w:space="0" w:color="auto"/>
      </w:divBdr>
    </w:div>
    <w:div w:id="1018311877">
      <w:bodyDiv w:val="1"/>
      <w:marLeft w:val="0"/>
      <w:marRight w:val="0"/>
      <w:marTop w:val="0"/>
      <w:marBottom w:val="0"/>
      <w:divBdr>
        <w:top w:val="none" w:sz="0" w:space="0" w:color="auto"/>
        <w:left w:val="none" w:sz="0" w:space="0" w:color="auto"/>
        <w:bottom w:val="none" w:sz="0" w:space="0" w:color="auto"/>
        <w:right w:val="none" w:sz="0" w:space="0" w:color="auto"/>
      </w:divBdr>
    </w:div>
    <w:div w:id="1055006530">
      <w:bodyDiv w:val="1"/>
      <w:marLeft w:val="0"/>
      <w:marRight w:val="0"/>
      <w:marTop w:val="0"/>
      <w:marBottom w:val="0"/>
      <w:divBdr>
        <w:top w:val="none" w:sz="0" w:space="0" w:color="auto"/>
        <w:left w:val="none" w:sz="0" w:space="0" w:color="auto"/>
        <w:bottom w:val="none" w:sz="0" w:space="0" w:color="auto"/>
        <w:right w:val="none" w:sz="0" w:space="0" w:color="auto"/>
      </w:divBdr>
    </w:div>
    <w:div w:id="1061561573">
      <w:bodyDiv w:val="1"/>
      <w:marLeft w:val="0"/>
      <w:marRight w:val="0"/>
      <w:marTop w:val="0"/>
      <w:marBottom w:val="0"/>
      <w:divBdr>
        <w:top w:val="none" w:sz="0" w:space="0" w:color="auto"/>
        <w:left w:val="none" w:sz="0" w:space="0" w:color="auto"/>
        <w:bottom w:val="none" w:sz="0" w:space="0" w:color="auto"/>
        <w:right w:val="none" w:sz="0" w:space="0" w:color="auto"/>
      </w:divBdr>
    </w:div>
    <w:div w:id="1080181115">
      <w:bodyDiv w:val="1"/>
      <w:marLeft w:val="0"/>
      <w:marRight w:val="0"/>
      <w:marTop w:val="0"/>
      <w:marBottom w:val="0"/>
      <w:divBdr>
        <w:top w:val="none" w:sz="0" w:space="0" w:color="auto"/>
        <w:left w:val="none" w:sz="0" w:space="0" w:color="auto"/>
        <w:bottom w:val="none" w:sz="0" w:space="0" w:color="auto"/>
        <w:right w:val="none" w:sz="0" w:space="0" w:color="auto"/>
      </w:divBdr>
    </w:div>
    <w:div w:id="1099834928">
      <w:bodyDiv w:val="1"/>
      <w:marLeft w:val="0"/>
      <w:marRight w:val="0"/>
      <w:marTop w:val="0"/>
      <w:marBottom w:val="0"/>
      <w:divBdr>
        <w:top w:val="none" w:sz="0" w:space="0" w:color="auto"/>
        <w:left w:val="none" w:sz="0" w:space="0" w:color="auto"/>
        <w:bottom w:val="none" w:sz="0" w:space="0" w:color="auto"/>
        <w:right w:val="none" w:sz="0" w:space="0" w:color="auto"/>
      </w:divBdr>
    </w:div>
    <w:div w:id="1121461362">
      <w:bodyDiv w:val="1"/>
      <w:marLeft w:val="0"/>
      <w:marRight w:val="0"/>
      <w:marTop w:val="0"/>
      <w:marBottom w:val="0"/>
      <w:divBdr>
        <w:top w:val="none" w:sz="0" w:space="0" w:color="auto"/>
        <w:left w:val="none" w:sz="0" w:space="0" w:color="auto"/>
        <w:bottom w:val="none" w:sz="0" w:space="0" w:color="auto"/>
        <w:right w:val="none" w:sz="0" w:space="0" w:color="auto"/>
      </w:divBdr>
    </w:div>
    <w:div w:id="1131705001">
      <w:bodyDiv w:val="1"/>
      <w:marLeft w:val="0"/>
      <w:marRight w:val="0"/>
      <w:marTop w:val="0"/>
      <w:marBottom w:val="0"/>
      <w:divBdr>
        <w:top w:val="none" w:sz="0" w:space="0" w:color="auto"/>
        <w:left w:val="none" w:sz="0" w:space="0" w:color="auto"/>
        <w:bottom w:val="none" w:sz="0" w:space="0" w:color="auto"/>
        <w:right w:val="none" w:sz="0" w:space="0" w:color="auto"/>
      </w:divBdr>
    </w:div>
    <w:div w:id="1167405249">
      <w:bodyDiv w:val="1"/>
      <w:marLeft w:val="0"/>
      <w:marRight w:val="0"/>
      <w:marTop w:val="0"/>
      <w:marBottom w:val="0"/>
      <w:divBdr>
        <w:top w:val="none" w:sz="0" w:space="0" w:color="auto"/>
        <w:left w:val="none" w:sz="0" w:space="0" w:color="auto"/>
        <w:bottom w:val="none" w:sz="0" w:space="0" w:color="auto"/>
        <w:right w:val="none" w:sz="0" w:space="0" w:color="auto"/>
      </w:divBdr>
    </w:div>
    <w:div w:id="1168210620">
      <w:bodyDiv w:val="1"/>
      <w:marLeft w:val="0"/>
      <w:marRight w:val="0"/>
      <w:marTop w:val="0"/>
      <w:marBottom w:val="0"/>
      <w:divBdr>
        <w:top w:val="none" w:sz="0" w:space="0" w:color="auto"/>
        <w:left w:val="none" w:sz="0" w:space="0" w:color="auto"/>
        <w:bottom w:val="none" w:sz="0" w:space="0" w:color="auto"/>
        <w:right w:val="none" w:sz="0" w:space="0" w:color="auto"/>
      </w:divBdr>
    </w:div>
    <w:div w:id="1174540184">
      <w:bodyDiv w:val="1"/>
      <w:marLeft w:val="0"/>
      <w:marRight w:val="0"/>
      <w:marTop w:val="0"/>
      <w:marBottom w:val="0"/>
      <w:divBdr>
        <w:top w:val="none" w:sz="0" w:space="0" w:color="auto"/>
        <w:left w:val="none" w:sz="0" w:space="0" w:color="auto"/>
        <w:bottom w:val="none" w:sz="0" w:space="0" w:color="auto"/>
        <w:right w:val="none" w:sz="0" w:space="0" w:color="auto"/>
      </w:divBdr>
    </w:div>
    <w:div w:id="1205561997">
      <w:bodyDiv w:val="1"/>
      <w:marLeft w:val="0"/>
      <w:marRight w:val="0"/>
      <w:marTop w:val="0"/>
      <w:marBottom w:val="0"/>
      <w:divBdr>
        <w:top w:val="none" w:sz="0" w:space="0" w:color="auto"/>
        <w:left w:val="none" w:sz="0" w:space="0" w:color="auto"/>
        <w:bottom w:val="none" w:sz="0" w:space="0" w:color="auto"/>
        <w:right w:val="none" w:sz="0" w:space="0" w:color="auto"/>
      </w:divBdr>
    </w:div>
    <w:div w:id="1219825433">
      <w:bodyDiv w:val="1"/>
      <w:marLeft w:val="0"/>
      <w:marRight w:val="0"/>
      <w:marTop w:val="0"/>
      <w:marBottom w:val="0"/>
      <w:divBdr>
        <w:top w:val="none" w:sz="0" w:space="0" w:color="auto"/>
        <w:left w:val="none" w:sz="0" w:space="0" w:color="auto"/>
        <w:bottom w:val="none" w:sz="0" w:space="0" w:color="auto"/>
        <w:right w:val="none" w:sz="0" w:space="0" w:color="auto"/>
      </w:divBdr>
    </w:div>
    <w:div w:id="1232227932">
      <w:bodyDiv w:val="1"/>
      <w:marLeft w:val="0"/>
      <w:marRight w:val="0"/>
      <w:marTop w:val="0"/>
      <w:marBottom w:val="0"/>
      <w:divBdr>
        <w:top w:val="none" w:sz="0" w:space="0" w:color="auto"/>
        <w:left w:val="none" w:sz="0" w:space="0" w:color="auto"/>
        <w:bottom w:val="none" w:sz="0" w:space="0" w:color="auto"/>
        <w:right w:val="none" w:sz="0" w:space="0" w:color="auto"/>
      </w:divBdr>
    </w:div>
    <w:div w:id="1237281137">
      <w:bodyDiv w:val="1"/>
      <w:marLeft w:val="0"/>
      <w:marRight w:val="0"/>
      <w:marTop w:val="0"/>
      <w:marBottom w:val="0"/>
      <w:divBdr>
        <w:top w:val="none" w:sz="0" w:space="0" w:color="auto"/>
        <w:left w:val="none" w:sz="0" w:space="0" w:color="auto"/>
        <w:bottom w:val="none" w:sz="0" w:space="0" w:color="auto"/>
        <w:right w:val="none" w:sz="0" w:space="0" w:color="auto"/>
      </w:divBdr>
    </w:div>
    <w:div w:id="1237975829">
      <w:bodyDiv w:val="1"/>
      <w:marLeft w:val="0"/>
      <w:marRight w:val="0"/>
      <w:marTop w:val="0"/>
      <w:marBottom w:val="0"/>
      <w:divBdr>
        <w:top w:val="none" w:sz="0" w:space="0" w:color="auto"/>
        <w:left w:val="none" w:sz="0" w:space="0" w:color="auto"/>
        <w:bottom w:val="none" w:sz="0" w:space="0" w:color="auto"/>
        <w:right w:val="none" w:sz="0" w:space="0" w:color="auto"/>
      </w:divBdr>
    </w:div>
    <w:div w:id="1251545516">
      <w:bodyDiv w:val="1"/>
      <w:marLeft w:val="0"/>
      <w:marRight w:val="0"/>
      <w:marTop w:val="0"/>
      <w:marBottom w:val="0"/>
      <w:divBdr>
        <w:top w:val="none" w:sz="0" w:space="0" w:color="auto"/>
        <w:left w:val="none" w:sz="0" w:space="0" w:color="auto"/>
        <w:bottom w:val="none" w:sz="0" w:space="0" w:color="auto"/>
        <w:right w:val="none" w:sz="0" w:space="0" w:color="auto"/>
      </w:divBdr>
    </w:div>
    <w:div w:id="1252205662">
      <w:bodyDiv w:val="1"/>
      <w:marLeft w:val="0"/>
      <w:marRight w:val="0"/>
      <w:marTop w:val="0"/>
      <w:marBottom w:val="0"/>
      <w:divBdr>
        <w:top w:val="none" w:sz="0" w:space="0" w:color="auto"/>
        <w:left w:val="none" w:sz="0" w:space="0" w:color="auto"/>
        <w:bottom w:val="none" w:sz="0" w:space="0" w:color="auto"/>
        <w:right w:val="none" w:sz="0" w:space="0" w:color="auto"/>
      </w:divBdr>
    </w:div>
    <w:div w:id="1252617174">
      <w:bodyDiv w:val="1"/>
      <w:marLeft w:val="0"/>
      <w:marRight w:val="0"/>
      <w:marTop w:val="0"/>
      <w:marBottom w:val="0"/>
      <w:divBdr>
        <w:top w:val="none" w:sz="0" w:space="0" w:color="auto"/>
        <w:left w:val="none" w:sz="0" w:space="0" w:color="auto"/>
        <w:bottom w:val="none" w:sz="0" w:space="0" w:color="auto"/>
        <w:right w:val="none" w:sz="0" w:space="0" w:color="auto"/>
      </w:divBdr>
    </w:div>
    <w:div w:id="1277441927">
      <w:bodyDiv w:val="1"/>
      <w:marLeft w:val="0"/>
      <w:marRight w:val="0"/>
      <w:marTop w:val="0"/>
      <w:marBottom w:val="0"/>
      <w:divBdr>
        <w:top w:val="none" w:sz="0" w:space="0" w:color="auto"/>
        <w:left w:val="none" w:sz="0" w:space="0" w:color="auto"/>
        <w:bottom w:val="none" w:sz="0" w:space="0" w:color="auto"/>
        <w:right w:val="none" w:sz="0" w:space="0" w:color="auto"/>
      </w:divBdr>
    </w:div>
    <w:div w:id="1294561345">
      <w:bodyDiv w:val="1"/>
      <w:marLeft w:val="0"/>
      <w:marRight w:val="0"/>
      <w:marTop w:val="0"/>
      <w:marBottom w:val="0"/>
      <w:divBdr>
        <w:top w:val="none" w:sz="0" w:space="0" w:color="auto"/>
        <w:left w:val="none" w:sz="0" w:space="0" w:color="auto"/>
        <w:bottom w:val="none" w:sz="0" w:space="0" w:color="auto"/>
        <w:right w:val="none" w:sz="0" w:space="0" w:color="auto"/>
      </w:divBdr>
    </w:div>
    <w:div w:id="1298989286">
      <w:bodyDiv w:val="1"/>
      <w:marLeft w:val="0"/>
      <w:marRight w:val="0"/>
      <w:marTop w:val="0"/>
      <w:marBottom w:val="0"/>
      <w:divBdr>
        <w:top w:val="none" w:sz="0" w:space="0" w:color="auto"/>
        <w:left w:val="none" w:sz="0" w:space="0" w:color="auto"/>
        <w:bottom w:val="none" w:sz="0" w:space="0" w:color="auto"/>
        <w:right w:val="none" w:sz="0" w:space="0" w:color="auto"/>
      </w:divBdr>
    </w:div>
    <w:div w:id="1318848102">
      <w:bodyDiv w:val="1"/>
      <w:marLeft w:val="0"/>
      <w:marRight w:val="0"/>
      <w:marTop w:val="0"/>
      <w:marBottom w:val="0"/>
      <w:divBdr>
        <w:top w:val="none" w:sz="0" w:space="0" w:color="auto"/>
        <w:left w:val="none" w:sz="0" w:space="0" w:color="auto"/>
        <w:bottom w:val="none" w:sz="0" w:space="0" w:color="auto"/>
        <w:right w:val="none" w:sz="0" w:space="0" w:color="auto"/>
      </w:divBdr>
    </w:div>
    <w:div w:id="1328945474">
      <w:bodyDiv w:val="1"/>
      <w:marLeft w:val="0"/>
      <w:marRight w:val="0"/>
      <w:marTop w:val="0"/>
      <w:marBottom w:val="0"/>
      <w:divBdr>
        <w:top w:val="none" w:sz="0" w:space="0" w:color="auto"/>
        <w:left w:val="none" w:sz="0" w:space="0" w:color="auto"/>
        <w:bottom w:val="none" w:sz="0" w:space="0" w:color="auto"/>
        <w:right w:val="none" w:sz="0" w:space="0" w:color="auto"/>
      </w:divBdr>
    </w:div>
    <w:div w:id="1330326471">
      <w:bodyDiv w:val="1"/>
      <w:marLeft w:val="0"/>
      <w:marRight w:val="0"/>
      <w:marTop w:val="0"/>
      <w:marBottom w:val="0"/>
      <w:divBdr>
        <w:top w:val="none" w:sz="0" w:space="0" w:color="auto"/>
        <w:left w:val="none" w:sz="0" w:space="0" w:color="auto"/>
        <w:bottom w:val="none" w:sz="0" w:space="0" w:color="auto"/>
        <w:right w:val="none" w:sz="0" w:space="0" w:color="auto"/>
      </w:divBdr>
    </w:div>
    <w:div w:id="1351182987">
      <w:bodyDiv w:val="1"/>
      <w:marLeft w:val="0"/>
      <w:marRight w:val="0"/>
      <w:marTop w:val="0"/>
      <w:marBottom w:val="0"/>
      <w:divBdr>
        <w:top w:val="none" w:sz="0" w:space="0" w:color="auto"/>
        <w:left w:val="none" w:sz="0" w:space="0" w:color="auto"/>
        <w:bottom w:val="none" w:sz="0" w:space="0" w:color="auto"/>
        <w:right w:val="none" w:sz="0" w:space="0" w:color="auto"/>
      </w:divBdr>
    </w:div>
    <w:div w:id="1372681486">
      <w:bodyDiv w:val="1"/>
      <w:marLeft w:val="0"/>
      <w:marRight w:val="0"/>
      <w:marTop w:val="0"/>
      <w:marBottom w:val="0"/>
      <w:divBdr>
        <w:top w:val="none" w:sz="0" w:space="0" w:color="auto"/>
        <w:left w:val="none" w:sz="0" w:space="0" w:color="auto"/>
        <w:bottom w:val="none" w:sz="0" w:space="0" w:color="auto"/>
        <w:right w:val="none" w:sz="0" w:space="0" w:color="auto"/>
      </w:divBdr>
    </w:div>
    <w:div w:id="1376344102">
      <w:bodyDiv w:val="1"/>
      <w:marLeft w:val="0"/>
      <w:marRight w:val="0"/>
      <w:marTop w:val="0"/>
      <w:marBottom w:val="0"/>
      <w:divBdr>
        <w:top w:val="none" w:sz="0" w:space="0" w:color="auto"/>
        <w:left w:val="none" w:sz="0" w:space="0" w:color="auto"/>
        <w:bottom w:val="none" w:sz="0" w:space="0" w:color="auto"/>
        <w:right w:val="none" w:sz="0" w:space="0" w:color="auto"/>
      </w:divBdr>
    </w:div>
    <w:div w:id="1406103998">
      <w:bodyDiv w:val="1"/>
      <w:marLeft w:val="0"/>
      <w:marRight w:val="0"/>
      <w:marTop w:val="0"/>
      <w:marBottom w:val="0"/>
      <w:divBdr>
        <w:top w:val="none" w:sz="0" w:space="0" w:color="auto"/>
        <w:left w:val="none" w:sz="0" w:space="0" w:color="auto"/>
        <w:bottom w:val="none" w:sz="0" w:space="0" w:color="auto"/>
        <w:right w:val="none" w:sz="0" w:space="0" w:color="auto"/>
      </w:divBdr>
    </w:div>
    <w:div w:id="1408115801">
      <w:bodyDiv w:val="1"/>
      <w:marLeft w:val="0"/>
      <w:marRight w:val="0"/>
      <w:marTop w:val="0"/>
      <w:marBottom w:val="0"/>
      <w:divBdr>
        <w:top w:val="none" w:sz="0" w:space="0" w:color="auto"/>
        <w:left w:val="none" w:sz="0" w:space="0" w:color="auto"/>
        <w:bottom w:val="none" w:sz="0" w:space="0" w:color="auto"/>
        <w:right w:val="none" w:sz="0" w:space="0" w:color="auto"/>
      </w:divBdr>
    </w:div>
    <w:div w:id="1434672491">
      <w:bodyDiv w:val="1"/>
      <w:marLeft w:val="0"/>
      <w:marRight w:val="0"/>
      <w:marTop w:val="0"/>
      <w:marBottom w:val="0"/>
      <w:divBdr>
        <w:top w:val="none" w:sz="0" w:space="0" w:color="auto"/>
        <w:left w:val="none" w:sz="0" w:space="0" w:color="auto"/>
        <w:bottom w:val="none" w:sz="0" w:space="0" w:color="auto"/>
        <w:right w:val="none" w:sz="0" w:space="0" w:color="auto"/>
      </w:divBdr>
    </w:div>
    <w:div w:id="1434863802">
      <w:bodyDiv w:val="1"/>
      <w:marLeft w:val="0"/>
      <w:marRight w:val="0"/>
      <w:marTop w:val="0"/>
      <w:marBottom w:val="0"/>
      <w:divBdr>
        <w:top w:val="none" w:sz="0" w:space="0" w:color="auto"/>
        <w:left w:val="none" w:sz="0" w:space="0" w:color="auto"/>
        <w:bottom w:val="none" w:sz="0" w:space="0" w:color="auto"/>
        <w:right w:val="none" w:sz="0" w:space="0" w:color="auto"/>
      </w:divBdr>
    </w:div>
    <w:div w:id="1469586444">
      <w:bodyDiv w:val="1"/>
      <w:marLeft w:val="0"/>
      <w:marRight w:val="0"/>
      <w:marTop w:val="0"/>
      <w:marBottom w:val="0"/>
      <w:divBdr>
        <w:top w:val="none" w:sz="0" w:space="0" w:color="auto"/>
        <w:left w:val="none" w:sz="0" w:space="0" w:color="auto"/>
        <w:bottom w:val="none" w:sz="0" w:space="0" w:color="auto"/>
        <w:right w:val="none" w:sz="0" w:space="0" w:color="auto"/>
      </w:divBdr>
    </w:div>
    <w:div w:id="1501191852">
      <w:bodyDiv w:val="1"/>
      <w:marLeft w:val="0"/>
      <w:marRight w:val="0"/>
      <w:marTop w:val="0"/>
      <w:marBottom w:val="0"/>
      <w:divBdr>
        <w:top w:val="none" w:sz="0" w:space="0" w:color="auto"/>
        <w:left w:val="none" w:sz="0" w:space="0" w:color="auto"/>
        <w:bottom w:val="none" w:sz="0" w:space="0" w:color="auto"/>
        <w:right w:val="none" w:sz="0" w:space="0" w:color="auto"/>
      </w:divBdr>
    </w:div>
    <w:div w:id="1541940667">
      <w:bodyDiv w:val="1"/>
      <w:marLeft w:val="0"/>
      <w:marRight w:val="0"/>
      <w:marTop w:val="0"/>
      <w:marBottom w:val="0"/>
      <w:divBdr>
        <w:top w:val="none" w:sz="0" w:space="0" w:color="auto"/>
        <w:left w:val="none" w:sz="0" w:space="0" w:color="auto"/>
        <w:bottom w:val="none" w:sz="0" w:space="0" w:color="auto"/>
        <w:right w:val="none" w:sz="0" w:space="0" w:color="auto"/>
      </w:divBdr>
    </w:div>
    <w:div w:id="1544709480">
      <w:bodyDiv w:val="1"/>
      <w:marLeft w:val="0"/>
      <w:marRight w:val="0"/>
      <w:marTop w:val="0"/>
      <w:marBottom w:val="0"/>
      <w:divBdr>
        <w:top w:val="none" w:sz="0" w:space="0" w:color="auto"/>
        <w:left w:val="none" w:sz="0" w:space="0" w:color="auto"/>
        <w:bottom w:val="none" w:sz="0" w:space="0" w:color="auto"/>
        <w:right w:val="none" w:sz="0" w:space="0" w:color="auto"/>
      </w:divBdr>
    </w:div>
    <w:div w:id="1556695922">
      <w:bodyDiv w:val="1"/>
      <w:marLeft w:val="0"/>
      <w:marRight w:val="0"/>
      <w:marTop w:val="0"/>
      <w:marBottom w:val="0"/>
      <w:divBdr>
        <w:top w:val="none" w:sz="0" w:space="0" w:color="auto"/>
        <w:left w:val="none" w:sz="0" w:space="0" w:color="auto"/>
        <w:bottom w:val="none" w:sz="0" w:space="0" w:color="auto"/>
        <w:right w:val="none" w:sz="0" w:space="0" w:color="auto"/>
      </w:divBdr>
    </w:div>
    <w:div w:id="1562864823">
      <w:bodyDiv w:val="1"/>
      <w:marLeft w:val="0"/>
      <w:marRight w:val="0"/>
      <w:marTop w:val="0"/>
      <w:marBottom w:val="0"/>
      <w:divBdr>
        <w:top w:val="none" w:sz="0" w:space="0" w:color="auto"/>
        <w:left w:val="none" w:sz="0" w:space="0" w:color="auto"/>
        <w:bottom w:val="none" w:sz="0" w:space="0" w:color="auto"/>
        <w:right w:val="none" w:sz="0" w:space="0" w:color="auto"/>
      </w:divBdr>
    </w:div>
    <w:div w:id="1565792521">
      <w:bodyDiv w:val="1"/>
      <w:marLeft w:val="0"/>
      <w:marRight w:val="0"/>
      <w:marTop w:val="0"/>
      <w:marBottom w:val="0"/>
      <w:divBdr>
        <w:top w:val="none" w:sz="0" w:space="0" w:color="auto"/>
        <w:left w:val="none" w:sz="0" w:space="0" w:color="auto"/>
        <w:bottom w:val="none" w:sz="0" w:space="0" w:color="auto"/>
        <w:right w:val="none" w:sz="0" w:space="0" w:color="auto"/>
      </w:divBdr>
    </w:div>
    <w:div w:id="1573202644">
      <w:bodyDiv w:val="1"/>
      <w:marLeft w:val="0"/>
      <w:marRight w:val="0"/>
      <w:marTop w:val="0"/>
      <w:marBottom w:val="0"/>
      <w:divBdr>
        <w:top w:val="none" w:sz="0" w:space="0" w:color="auto"/>
        <w:left w:val="none" w:sz="0" w:space="0" w:color="auto"/>
        <w:bottom w:val="none" w:sz="0" w:space="0" w:color="auto"/>
        <w:right w:val="none" w:sz="0" w:space="0" w:color="auto"/>
      </w:divBdr>
    </w:div>
    <w:div w:id="1576697341">
      <w:bodyDiv w:val="1"/>
      <w:marLeft w:val="0"/>
      <w:marRight w:val="0"/>
      <w:marTop w:val="0"/>
      <w:marBottom w:val="0"/>
      <w:divBdr>
        <w:top w:val="none" w:sz="0" w:space="0" w:color="auto"/>
        <w:left w:val="none" w:sz="0" w:space="0" w:color="auto"/>
        <w:bottom w:val="none" w:sz="0" w:space="0" w:color="auto"/>
        <w:right w:val="none" w:sz="0" w:space="0" w:color="auto"/>
      </w:divBdr>
    </w:div>
    <w:div w:id="1593127564">
      <w:bodyDiv w:val="1"/>
      <w:marLeft w:val="0"/>
      <w:marRight w:val="0"/>
      <w:marTop w:val="0"/>
      <w:marBottom w:val="0"/>
      <w:divBdr>
        <w:top w:val="none" w:sz="0" w:space="0" w:color="auto"/>
        <w:left w:val="none" w:sz="0" w:space="0" w:color="auto"/>
        <w:bottom w:val="none" w:sz="0" w:space="0" w:color="auto"/>
        <w:right w:val="none" w:sz="0" w:space="0" w:color="auto"/>
      </w:divBdr>
    </w:div>
    <w:div w:id="1598170485">
      <w:bodyDiv w:val="1"/>
      <w:marLeft w:val="0"/>
      <w:marRight w:val="0"/>
      <w:marTop w:val="0"/>
      <w:marBottom w:val="0"/>
      <w:divBdr>
        <w:top w:val="none" w:sz="0" w:space="0" w:color="auto"/>
        <w:left w:val="none" w:sz="0" w:space="0" w:color="auto"/>
        <w:bottom w:val="none" w:sz="0" w:space="0" w:color="auto"/>
        <w:right w:val="none" w:sz="0" w:space="0" w:color="auto"/>
      </w:divBdr>
    </w:div>
    <w:div w:id="1650552058">
      <w:bodyDiv w:val="1"/>
      <w:marLeft w:val="0"/>
      <w:marRight w:val="0"/>
      <w:marTop w:val="0"/>
      <w:marBottom w:val="0"/>
      <w:divBdr>
        <w:top w:val="none" w:sz="0" w:space="0" w:color="auto"/>
        <w:left w:val="none" w:sz="0" w:space="0" w:color="auto"/>
        <w:bottom w:val="none" w:sz="0" w:space="0" w:color="auto"/>
        <w:right w:val="none" w:sz="0" w:space="0" w:color="auto"/>
      </w:divBdr>
    </w:div>
    <w:div w:id="1652560433">
      <w:bodyDiv w:val="1"/>
      <w:marLeft w:val="0"/>
      <w:marRight w:val="0"/>
      <w:marTop w:val="0"/>
      <w:marBottom w:val="0"/>
      <w:divBdr>
        <w:top w:val="none" w:sz="0" w:space="0" w:color="auto"/>
        <w:left w:val="none" w:sz="0" w:space="0" w:color="auto"/>
        <w:bottom w:val="none" w:sz="0" w:space="0" w:color="auto"/>
        <w:right w:val="none" w:sz="0" w:space="0" w:color="auto"/>
      </w:divBdr>
      <w:divsChild>
        <w:div w:id="2146389113">
          <w:marLeft w:val="0"/>
          <w:marRight w:val="0"/>
          <w:marTop w:val="100"/>
          <w:marBottom w:val="100"/>
          <w:divBdr>
            <w:top w:val="none" w:sz="0" w:space="0" w:color="auto"/>
            <w:left w:val="none" w:sz="0" w:space="0" w:color="auto"/>
            <w:bottom w:val="none" w:sz="0" w:space="0" w:color="auto"/>
            <w:right w:val="none" w:sz="0" w:space="0" w:color="auto"/>
          </w:divBdr>
          <w:divsChild>
            <w:div w:id="1705671739">
              <w:marLeft w:val="0"/>
              <w:marRight w:val="0"/>
              <w:marTop w:val="0"/>
              <w:marBottom w:val="0"/>
              <w:divBdr>
                <w:top w:val="none" w:sz="0" w:space="0" w:color="auto"/>
                <w:left w:val="none" w:sz="0" w:space="0" w:color="auto"/>
                <w:bottom w:val="none" w:sz="0" w:space="0" w:color="auto"/>
                <w:right w:val="none" w:sz="0" w:space="0" w:color="auto"/>
              </w:divBdr>
              <w:divsChild>
                <w:div w:id="342898254">
                  <w:marLeft w:val="0"/>
                  <w:marRight w:val="0"/>
                  <w:marTop w:val="0"/>
                  <w:marBottom w:val="0"/>
                  <w:divBdr>
                    <w:top w:val="none" w:sz="0" w:space="0" w:color="auto"/>
                    <w:left w:val="none" w:sz="0" w:space="0" w:color="auto"/>
                    <w:bottom w:val="none" w:sz="0" w:space="0" w:color="auto"/>
                    <w:right w:val="none" w:sz="0" w:space="0" w:color="auto"/>
                  </w:divBdr>
                  <w:divsChild>
                    <w:div w:id="1419130794">
                      <w:marLeft w:val="0"/>
                      <w:marRight w:val="0"/>
                      <w:marTop w:val="100"/>
                      <w:marBottom w:val="100"/>
                      <w:divBdr>
                        <w:top w:val="none" w:sz="0" w:space="0" w:color="auto"/>
                        <w:left w:val="none" w:sz="0" w:space="0" w:color="auto"/>
                        <w:bottom w:val="none" w:sz="0" w:space="0" w:color="auto"/>
                        <w:right w:val="none" w:sz="0" w:space="0" w:color="auto"/>
                      </w:divBdr>
                      <w:divsChild>
                        <w:div w:id="759106673">
                          <w:marLeft w:val="0"/>
                          <w:marRight w:val="-14400"/>
                          <w:marTop w:val="0"/>
                          <w:marBottom w:val="0"/>
                          <w:divBdr>
                            <w:top w:val="none" w:sz="0" w:space="0" w:color="auto"/>
                            <w:left w:val="none" w:sz="0" w:space="0" w:color="auto"/>
                            <w:bottom w:val="none" w:sz="0" w:space="0" w:color="auto"/>
                            <w:right w:val="none" w:sz="0" w:space="0" w:color="auto"/>
                          </w:divBdr>
                          <w:divsChild>
                            <w:div w:id="258026206">
                              <w:marLeft w:val="0"/>
                              <w:marRight w:val="0"/>
                              <w:marTop w:val="0"/>
                              <w:marBottom w:val="0"/>
                              <w:divBdr>
                                <w:top w:val="none" w:sz="0" w:space="0" w:color="auto"/>
                                <w:left w:val="none" w:sz="0" w:space="0" w:color="auto"/>
                                <w:bottom w:val="none" w:sz="0" w:space="0" w:color="auto"/>
                                <w:right w:val="none" w:sz="0" w:space="0" w:color="auto"/>
                              </w:divBdr>
                              <w:divsChild>
                                <w:div w:id="1613588995">
                                  <w:marLeft w:val="0"/>
                                  <w:marRight w:val="0"/>
                                  <w:marTop w:val="0"/>
                                  <w:marBottom w:val="0"/>
                                  <w:divBdr>
                                    <w:top w:val="none" w:sz="0" w:space="0" w:color="auto"/>
                                    <w:left w:val="none" w:sz="0" w:space="0" w:color="auto"/>
                                    <w:bottom w:val="none" w:sz="0" w:space="0" w:color="auto"/>
                                    <w:right w:val="none" w:sz="0" w:space="0" w:color="auto"/>
                                  </w:divBdr>
                                  <w:divsChild>
                                    <w:div w:id="2122649937">
                                      <w:marLeft w:val="150"/>
                                      <w:marRight w:val="150"/>
                                      <w:marTop w:val="0"/>
                                      <w:marBottom w:val="0"/>
                                      <w:divBdr>
                                        <w:top w:val="none" w:sz="0" w:space="0" w:color="auto"/>
                                        <w:left w:val="none" w:sz="0" w:space="0" w:color="auto"/>
                                        <w:bottom w:val="none" w:sz="0" w:space="0" w:color="auto"/>
                                        <w:right w:val="none" w:sz="0" w:space="0" w:color="auto"/>
                                      </w:divBdr>
                                      <w:divsChild>
                                        <w:div w:id="671571731">
                                          <w:marLeft w:val="0"/>
                                          <w:marRight w:val="0"/>
                                          <w:marTop w:val="0"/>
                                          <w:marBottom w:val="0"/>
                                          <w:divBdr>
                                            <w:top w:val="none" w:sz="0" w:space="0" w:color="auto"/>
                                            <w:left w:val="none" w:sz="0" w:space="0" w:color="auto"/>
                                            <w:bottom w:val="none" w:sz="0" w:space="0" w:color="auto"/>
                                            <w:right w:val="none" w:sz="0" w:space="0" w:color="auto"/>
                                          </w:divBdr>
                                          <w:divsChild>
                                            <w:div w:id="8732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139216">
      <w:bodyDiv w:val="1"/>
      <w:marLeft w:val="0"/>
      <w:marRight w:val="0"/>
      <w:marTop w:val="0"/>
      <w:marBottom w:val="0"/>
      <w:divBdr>
        <w:top w:val="none" w:sz="0" w:space="0" w:color="auto"/>
        <w:left w:val="none" w:sz="0" w:space="0" w:color="auto"/>
        <w:bottom w:val="none" w:sz="0" w:space="0" w:color="auto"/>
        <w:right w:val="none" w:sz="0" w:space="0" w:color="auto"/>
      </w:divBdr>
    </w:div>
    <w:div w:id="1690182180">
      <w:bodyDiv w:val="1"/>
      <w:marLeft w:val="0"/>
      <w:marRight w:val="0"/>
      <w:marTop w:val="0"/>
      <w:marBottom w:val="0"/>
      <w:divBdr>
        <w:top w:val="none" w:sz="0" w:space="0" w:color="auto"/>
        <w:left w:val="none" w:sz="0" w:space="0" w:color="auto"/>
        <w:bottom w:val="none" w:sz="0" w:space="0" w:color="auto"/>
        <w:right w:val="none" w:sz="0" w:space="0" w:color="auto"/>
      </w:divBdr>
    </w:div>
    <w:div w:id="1695573399">
      <w:bodyDiv w:val="1"/>
      <w:marLeft w:val="0"/>
      <w:marRight w:val="0"/>
      <w:marTop w:val="0"/>
      <w:marBottom w:val="0"/>
      <w:divBdr>
        <w:top w:val="none" w:sz="0" w:space="0" w:color="auto"/>
        <w:left w:val="none" w:sz="0" w:space="0" w:color="auto"/>
        <w:bottom w:val="none" w:sz="0" w:space="0" w:color="auto"/>
        <w:right w:val="none" w:sz="0" w:space="0" w:color="auto"/>
      </w:divBdr>
    </w:div>
    <w:div w:id="1695576103">
      <w:bodyDiv w:val="1"/>
      <w:marLeft w:val="0"/>
      <w:marRight w:val="0"/>
      <w:marTop w:val="0"/>
      <w:marBottom w:val="0"/>
      <w:divBdr>
        <w:top w:val="none" w:sz="0" w:space="0" w:color="auto"/>
        <w:left w:val="none" w:sz="0" w:space="0" w:color="auto"/>
        <w:bottom w:val="none" w:sz="0" w:space="0" w:color="auto"/>
        <w:right w:val="none" w:sz="0" w:space="0" w:color="auto"/>
      </w:divBdr>
    </w:div>
    <w:div w:id="1696613020">
      <w:bodyDiv w:val="1"/>
      <w:marLeft w:val="0"/>
      <w:marRight w:val="0"/>
      <w:marTop w:val="0"/>
      <w:marBottom w:val="0"/>
      <w:divBdr>
        <w:top w:val="none" w:sz="0" w:space="0" w:color="auto"/>
        <w:left w:val="none" w:sz="0" w:space="0" w:color="auto"/>
        <w:bottom w:val="none" w:sz="0" w:space="0" w:color="auto"/>
        <w:right w:val="none" w:sz="0" w:space="0" w:color="auto"/>
      </w:divBdr>
    </w:div>
    <w:div w:id="1699771497">
      <w:bodyDiv w:val="1"/>
      <w:marLeft w:val="0"/>
      <w:marRight w:val="0"/>
      <w:marTop w:val="0"/>
      <w:marBottom w:val="0"/>
      <w:divBdr>
        <w:top w:val="none" w:sz="0" w:space="0" w:color="auto"/>
        <w:left w:val="none" w:sz="0" w:space="0" w:color="auto"/>
        <w:bottom w:val="none" w:sz="0" w:space="0" w:color="auto"/>
        <w:right w:val="none" w:sz="0" w:space="0" w:color="auto"/>
      </w:divBdr>
    </w:div>
    <w:div w:id="1703093082">
      <w:bodyDiv w:val="1"/>
      <w:marLeft w:val="0"/>
      <w:marRight w:val="0"/>
      <w:marTop w:val="0"/>
      <w:marBottom w:val="0"/>
      <w:divBdr>
        <w:top w:val="none" w:sz="0" w:space="0" w:color="auto"/>
        <w:left w:val="none" w:sz="0" w:space="0" w:color="auto"/>
        <w:bottom w:val="none" w:sz="0" w:space="0" w:color="auto"/>
        <w:right w:val="none" w:sz="0" w:space="0" w:color="auto"/>
      </w:divBdr>
    </w:div>
    <w:div w:id="1711609187">
      <w:bodyDiv w:val="1"/>
      <w:marLeft w:val="0"/>
      <w:marRight w:val="0"/>
      <w:marTop w:val="0"/>
      <w:marBottom w:val="0"/>
      <w:divBdr>
        <w:top w:val="none" w:sz="0" w:space="0" w:color="auto"/>
        <w:left w:val="none" w:sz="0" w:space="0" w:color="auto"/>
        <w:bottom w:val="none" w:sz="0" w:space="0" w:color="auto"/>
        <w:right w:val="none" w:sz="0" w:space="0" w:color="auto"/>
      </w:divBdr>
    </w:div>
    <w:div w:id="1716271740">
      <w:bodyDiv w:val="1"/>
      <w:marLeft w:val="0"/>
      <w:marRight w:val="0"/>
      <w:marTop w:val="0"/>
      <w:marBottom w:val="0"/>
      <w:divBdr>
        <w:top w:val="none" w:sz="0" w:space="0" w:color="auto"/>
        <w:left w:val="none" w:sz="0" w:space="0" w:color="auto"/>
        <w:bottom w:val="none" w:sz="0" w:space="0" w:color="auto"/>
        <w:right w:val="none" w:sz="0" w:space="0" w:color="auto"/>
      </w:divBdr>
    </w:div>
    <w:div w:id="1716464485">
      <w:bodyDiv w:val="1"/>
      <w:marLeft w:val="0"/>
      <w:marRight w:val="0"/>
      <w:marTop w:val="0"/>
      <w:marBottom w:val="0"/>
      <w:divBdr>
        <w:top w:val="none" w:sz="0" w:space="0" w:color="auto"/>
        <w:left w:val="none" w:sz="0" w:space="0" w:color="auto"/>
        <w:bottom w:val="none" w:sz="0" w:space="0" w:color="auto"/>
        <w:right w:val="none" w:sz="0" w:space="0" w:color="auto"/>
      </w:divBdr>
    </w:div>
    <w:div w:id="1753549935">
      <w:bodyDiv w:val="1"/>
      <w:marLeft w:val="0"/>
      <w:marRight w:val="0"/>
      <w:marTop w:val="0"/>
      <w:marBottom w:val="0"/>
      <w:divBdr>
        <w:top w:val="none" w:sz="0" w:space="0" w:color="auto"/>
        <w:left w:val="none" w:sz="0" w:space="0" w:color="auto"/>
        <w:bottom w:val="none" w:sz="0" w:space="0" w:color="auto"/>
        <w:right w:val="none" w:sz="0" w:space="0" w:color="auto"/>
      </w:divBdr>
    </w:div>
    <w:div w:id="1768890230">
      <w:bodyDiv w:val="1"/>
      <w:marLeft w:val="0"/>
      <w:marRight w:val="0"/>
      <w:marTop w:val="0"/>
      <w:marBottom w:val="0"/>
      <w:divBdr>
        <w:top w:val="none" w:sz="0" w:space="0" w:color="auto"/>
        <w:left w:val="none" w:sz="0" w:space="0" w:color="auto"/>
        <w:bottom w:val="none" w:sz="0" w:space="0" w:color="auto"/>
        <w:right w:val="none" w:sz="0" w:space="0" w:color="auto"/>
      </w:divBdr>
      <w:divsChild>
        <w:div w:id="994409987">
          <w:marLeft w:val="0"/>
          <w:marRight w:val="0"/>
          <w:marTop w:val="0"/>
          <w:marBottom w:val="0"/>
          <w:divBdr>
            <w:top w:val="none" w:sz="0" w:space="0" w:color="auto"/>
            <w:left w:val="none" w:sz="0" w:space="0" w:color="auto"/>
            <w:bottom w:val="none" w:sz="0" w:space="0" w:color="auto"/>
            <w:right w:val="none" w:sz="0" w:space="0" w:color="auto"/>
          </w:divBdr>
          <w:divsChild>
            <w:div w:id="2141922935">
              <w:marLeft w:val="3150"/>
              <w:marRight w:val="600"/>
              <w:marTop w:val="0"/>
              <w:marBottom w:val="100"/>
              <w:divBdr>
                <w:top w:val="none" w:sz="0" w:space="0" w:color="auto"/>
                <w:left w:val="none" w:sz="0" w:space="0" w:color="auto"/>
                <w:bottom w:val="none" w:sz="0" w:space="0" w:color="auto"/>
                <w:right w:val="none" w:sz="0" w:space="0" w:color="auto"/>
              </w:divBdr>
            </w:div>
          </w:divsChild>
        </w:div>
      </w:divsChild>
    </w:div>
    <w:div w:id="1772705153">
      <w:bodyDiv w:val="1"/>
      <w:marLeft w:val="0"/>
      <w:marRight w:val="0"/>
      <w:marTop w:val="0"/>
      <w:marBottom w:val="0"/>
      <w:divBdr>
        <w:top w:val="none" w:sz="0" w:space="0" w:color="auto"/>
        <w:left w:val="none" w:sz="0" w:space="0" w:color="auto"/>
        <w:bottom w:val="none" w:sz="0" w:space="0" w:color="auto"/>
        <w:right w:val="none" w:sz="0" w:space="0" w:color="auto"/>
      </w:divBdr>
    </w:div>
    <w:div w:id="1779330657">
      <w:bodyDiv w:val="1"/>
      <w:marLeft w:val="0"/>
      <w:marRight w:val="0"/>
      <w:marTop w:val="0"/>
      <w:marBottom w:val="0"/>
      <w:divBdr>
        <w:top w:val="none" w:sz="0" w:space="0" w:color="auto"/>
        <w:left w:val="none" w:sz="0" w:space="0" w:color="auto"/>
        <w:bottom w:val="none" w:sz="0" w:space="0" w:color="auto"/>
        <w:right w:val="none" w:sz="0" w:space="0" w:color="auto"/>
      </w:divBdr>
    </w:div>
    <w:div w:id="1826972264">
      <w:bodyDiv w:val="1"/>
      <w:marLeft w:val="0"/>
      <w:marRight w:val="0"/>
      <w:marTop w:val="0"/>
      <w:marBottom w:val="0"/>
      <w:divBdr>
        <w:top w:val="none" w:sz="0" w:space="0" w:color="auto"/>
        <w:left w:val="none" w:sz="0" w:space="0" w:color="auto"/>
        <w:bottom w:val="none" w:sz="0" w:space="0" w:color="auto"/>
        <w:right w:val="none" w:sz="0" w:space="0" w:color="auto"/>
      </w:divBdr>
    </w:div>
    <w:div w:id="1828202413">
      <w:bodyDiv w:val="1"/>
      <w:marLeft w:val="0"/>
      <w:marRight w:val="0"/>
      <w:marTop w:val="0"/>
      <w:marBottom w:val="0"/>
      <w:divBdr>
        <w:top w:val="none" w:sz="0" w:space="0" w:color="auto"/>
        <w:left w:val="none" w:sz="0" w:space="0" w:color="auto"/>
        <w:bottom w:val="none" w:sz="0" w:space="0" w:color="auto"/>
        <w:right w:val="none" w:sz="0" w:space="0" w:color="auto"/>
      </w:divBdr>
      <w:divsChild>
        <w:div w:id="1574777238">
          <w:marLeft w:val="0"/>
          <w:marRight w:val="0"/>
          <w:marTop w:val="100"/>
          <w:marBottom w:val="100"/>
          <w:divBdr>
            <w:top w:val="none" w:sz="0" w:space="0" w:color="auto"/>
            <w:left w:val="none" w:sz="0" w:space="0" w:color="auto"/>
            <w:bottom w:val="none" w:sz="0" w:space="0" w:color="auto"/>
            <w:right w:val="none" w:sz="0" w:space="0" w:color="auto"/>
          </w:divBdr>
          <w:divsChild>
            <w:div w:id="1668941333">
              <w:marLeft w:val="0"/>
              <w:marRight w:val="0"/>
              <w:marTop w:val="0"/>
              <w:marBottom w:val="0"/>
              <w:divBdr>
                <w:top w:val="none" w:sz="0" w:space="0" w:color="auto"/>
                <w:left w:val="none" w:sz="0" w:space="0" w:color="auto"/>
                <w:bottom w:val="none" w:sz="0" w:space="0" w:color="auto"/>
                <w:right w:val="none" w:sz="0" w:space="0" w:color="auto"/>
              </w:divBdr>
              <w:divsChild>
                <w:div w:id="83231970">
                  <w:marLeft w:val="0"/>
                  <w:marRight w:val="0"/>
                  <w:marTop w:val="0"/>
                  <w:marBottom w:val="0"/>
                  <w:divBdr>
                    <w:top w:val="none" w:sz="0" w:space="0" w:color="auto"/>
                    <w:left w:val="none" w:sz="0" w:space="0" w:color="auto"/>
                    <w:bottom w:val="none" w:sz="0" w:space="0" w:color="auto"/>
                    <w:right w:val="none" w:sz="0" w:space="0" w:color="auto"/>
                  </w:divBdr>
                  <w:divsChild>
                    <w:div w:id="387388384">
                      <w:marLeft w:val="0"/>
                      <w:marRight w:val="0"/>
                      <w:marTop w:val="100"/>
                      <w:marBottom w:val="100"/>
                      <w:divBdr>
                        <w:top w:val="none" w:sz="0" w:space="0" w:color="auto"/>
                        <w:left w:val="none" w:sz="0" w:space="0" w:color="auto"/>
                        <w:bottom w:val="none" w:sz="0" w:space="0" w:color="auto"/>
                        <w:right w:val="none" w:sz="0" w:space="0" w:color="auto"/>
                      </w:divBdr>
                      <w:divsChild>
                        <w:div w:id="1341397218">
                          <w:marLeft w:val="0"/>
                          <w:marRight w:val="-14400"/>
                          <w:marTop w:val="0"/>
                          <w:marBottom w:val="0"/>
                          <w:divBdr>
                            <w:top w:val="none" w:sz="0" w:space="0" w:color="auto"/>
                            <w:left w:val="none" w:sz="0" w:space="0" w:color="auto"/>
                            <w:bottom w:val="none" w:sz="0" w:space="0" w:color="auto"/>
                            <w:right w:val="none" w:sz="0" w:space="0" w:color="auto"/>
                          </w:divBdr>
                          <w:divsChild>
                            <w:div w:id="1746106055">
                              <w:marLeft w:val="0"/>
                              <w:marRight w:val="0"/>
                              <w:marTop w:val="0"/>
                              <w:marBottom w:val="0"/>
                              <w:divBdr>
                                <w:top w:val="none" w:sz="0" w:space="0" w:color="auto"/>
                                <w:left w:val="none" w:sz="0" w:space="0" w:color="auto"/>
                                <w:bottom w:val="none" w:sz="0" w:space="0" w:color="auto"/>
                                <w:right w:val="none" w:sz="0" w:space="0" w:color="auto"/>
                              </w:divBdr>
                              <w:divsChild>
                                <w:div w:id="2108309695">
                                  <w:marLeft w:val="0"/>
                                  <w:marRight w:val="0"/>
                                  <w:marTop w:val="0"/>
                                  <w:marBottom w:val="0"/>
                                  <w:divBdr>
                                    <w:top w:val="none" w:sz="0" w:space="0" w:color="auto"/>
                                    <w:left w:val="none" w:sz="0" w:space="0" w:color="auto"/>
                                    <w:bottom w:val="none" w:sz="0" w:space="0" w:color="auto"/>
                                    <w:right w:val="none" w:sz="0" w:space="0" w:color="auto"/>
                                  </w:divBdr>
                                  <w:divsChild>
                                    <w:div w:id="939264748">
                                      <w:marLeft w:val="150"/>
                                      <w:marRight w:val="150"/>
                                      <w:marTop w:val="0"/>
                                      <w:marBottom w:val="0"/>
                                      <w:divBdr>
                                        <w:top w:val="none" w:sz="0" w:space="0" w:color="auto"/>
                                        <w:left w:val="none" w:sz="0" w:space="0" w:color="auto"/>
                                        <w:bottom w:val="none" w:sz="0" w:space="0" w:color="auto"/>
                                        <w:right w:val="none" w:sz="0" w:space="0" w:color="auto"/>
                                      </w:divBdr>
                                      <w:divsChild>
                                        <w:div w:id="1851261516">
                                          <w:marLeft w:val="0"/>
                                          <w:marRight w:val="0"/>
                                          <w:marTop w:val="0"/>
                                          <w:marBottom w:val="0"/>
                                          <w:divBdr>
                                            <w:top w:val="none" w:sz="0" w:space="0" w:color="auto"/>
                                            <w:left w:val="none" w:sz="0" w:space="0" w:color="auto"/>
                                            <w:bottom w:val="none" w:sz="0" w:space="0" w:color="auto"/>
                                            <w:right w:val="none" w:sz="0" w:space="0" w:color="auto"/>
                                          </w:divBdr>
                                          <w:divsChild>
                                            <w:div w:id="852231048">
                                              <w:marLeft w:val="0"/>
                                              <w:marRight w:val="0"/>
                                              <w:marTop w:val="0"/>
                                              <w:marBottom w:val="0"/>
                                              <w:divBdr>
                                                <w:top w:val="none" w:sz="0" w:space="0" w:color="auto"/>
                                                <w:left w:val="none" w:sz="0" w:space="0" w:color="auto"/>
                                                <w:bottom w:val="none" w:sz="0" w:space="0" w:color="auto"/>
                                                <w:right w:val="none" w:sz="0" w:space="0" w:color="auto"/>
                                              </w:divBdr>
                                              <w:divsChild>
                                                <w:div w:id="2056420585">
                                                  <w:marLeft w:val="0"/>
                                                  <w:marRight w:val="0"/>
                                                  <w:marTop w:val="0"/>
                                                  <w:marBottom w:val="0"/>
                                                  <w:divBdr>
                                                    <w:top w:val="none" w:sz="0" w:space="0" w:color="auto"/>
                                                    <w:left w:val="none" w:sz="0" w:space="0" w:color="auto"/>
                                                    <w:bottom w:val="none" w:sz="0" w:space="0" w:color="auto"/>
                                                    <w:right w:val="none" w:sz="0" w:space="0" w:color="auto"/>
                                                  </w:divBdr>
                                                  <w:divsChild>
                                                    <w:div w:id="8066423">
                                                      <w:marLeft w:val="0"/>
                                                      <w:marRight w:val="0"/>
                                                      <w:marTop w:val="0"/>
                                                      <w:marBottom w:val="0"/>
                                                      <w:divBdr>
                                                        <w:top w:val="none" w:sz="0" w:space="0" w:color="auto"/>
                                                        <w:left w:val="none" w:sz="0" w:space="0" w:color="auto"/>
                                                        <w:bottom w:val="none" w:sz="0" w:space="0" w:color="auto"/>
                                                        <w:right w:val="none" w:sz="0" w:space="0" w:color="auto"/>
                                                      </w:divBdr>
                                                      <w:divsChild>
                                                        <w:div w:id="140344595">
                                                          <w:marLeft w:val="0"/>
                                                          <w:marRight w:val="0"/>
                                                          <w:marTop w:val="0"/>
                                                          <w:marBottom w:val="0"/>
                                                          <w:divBdr>
                                                            <w:top w:val="none" w:sz="0" w:space="0" w:color="auto"/>
                                                            <w:left w:val="none" w:sz="0" w:space="0" w:color="auto"/>
                                                            <w:bottom w:val="none" w:sz="0" w:space="0" w:color="auto"/>
                                                            <w:right w:val="none" w:sz="0" w:space="0" w:color="auto"/>
                                                          </w:divBdr>
                                                          <w:divsChild>
                                                            <w:div w:id="1900289413">
                                                              <w:marLeft w:val="0"/>
                                                              <w:marRight w:val="0"/>
                                                              <w:marTop w:val="0"/>
                                                              <w:marBottom w:val="0"/>
                                                              <w:divBdr>
                                                                <w:top w:val="none" w:sz="0" w:space="0" w:color="auto"/>
                                                                <w:left w:val="none" w:sz="0" w:space="0" w:color="auto"/>
                                                                <w:bottom w:val="none" w:sz="0" w:space="0" w:color="auto"/>
                                                                <w:right w:val="none" w:sz="0" w:space="0" w:color="auto"/>
                                                              </w:divBdr>
                                                              <w:divsChild>
                                                                <w:div w:id="589244275">
                                                                  <w:marLeft w:val="0"/>
                                                                  <w:marRight w:val="0"/>
                                                                  <w:marTop w:val="0"/>
                                                                  <w:marBottom w:val="0"/>
                                                                  <w:divBdr>
                                                                    <w:top w:val="none" w:sz="0" w:space="0" w:color="auto"/>
                                                                    <w:left w:val="none" w:sz="0" w:space="0" w:color="auto"/>
                                                                    <w:bottom w:val="none" w:sz="0" w:space="0" w:color="auto"/>
                                                                    <w:right w:val="none" w:sz="0" w:space="0" w:color="auto"/>
                                                                  </w:divBdr>
                                                                  <w:divsChild>
                                                                    <w:div w:id="704330977">
                                                                      <w:marLeft w:val="0"/>
                                                                      <w:marRight w:val="0"/>
                                                                      <w:marTop w:val="0"/>
                                                                      <w:marBottom w:val="0"/>
                                                                      <w:divBdr>
                                                                        <w:top w:val="none" w:sz="0" w:space="0" w:color="auto"/>
                                                                        <w:left w:val="none" w:sz="0" w:space="0" w:color="auto"/>
                                                                        <w:bottom w:val="none" w:sz="0" w:space="0" w:color="auto"/>
                                                                        <w:right w:val="none" w:sz="0" w:space="0" w:color="auto"/>
                                                                      </w:divBdr>
                                                                      <w:divsChild>
                                                                        <w:div w:id="884953478">
                                                                          <w:marLeft w:val="0"/>
                                                                          <w:marRight w:val="0"/>
                                                                          <w:marTop w:val="0"/>
                                                                          <w:marBottom w:val="0"/>
                                                                          <w:divBdr>
                                                                            <w:top w:val="none" w:sz="0" w:space="0" w:color="auto"/>
                                                                            <w:left w:val="none" w:sz="0" w:space="0" w:color="auto"/>
                                                                            <w:bottom w:val="none" w:sz="0" w:space="0" w:color="auto"/>
                                                                            <w:right w:val="none" w:sz="0" w:space="0" w:color="auto"/>
                                                                          </w:divBdr>
                                                                          <w:divsChild>
                                                                            <w:div w:id="1974748566">
                                                                              <w:marLeft w:val="0"/>
                                                                              <w:marRight w:val="0"/>
                                                                              <w:marTop w:val="0"/>
                                                                              <w:marBottom w:val="0"/>
                                                                              <w:divBdr>
                                                                                <w:top w:val="none" w:sz="0" w:space="0" w:color="auto"/>
                                                                                <w:left w:val="none" w:sz="0" w:space="0" w:color="auto"/>
                                                                                <w:bottom w:val="none" w:sz="0" w:space="0" w:color="auto"/>
                                                                                <w:right w:val="none" w:sz="0" w:space="0" w:color="auto"/>
                                                                              </w:divBdr>
                                                                              <w:divsChild>
                                                                                <w:div w:id="287397337">
                                                                                  <w:marLeft w:val="0"/>
                                                                                  <w:marRight w:val="0"/>
                                                                                  <w:marTop w:val="0"/>
                                                                                  <w:marBottom w:val="0"/>
                                                                                  <w:divBdr>
                                                                                    <w:top w:val="none" w:sz="0" w:space="0" w:color="auto"/>
                                                                                    <w:left w:val="none" w:sz="0" w:space="0" w:color="auto"/>
                                                                                    <w:bottom w:val="none" w:sz="0" w:space="0" w:color="auto"/>
                                                                                    <w:right w:val="none" w:sz="0" w:space="0" w:color="auto"/>
                                                                                  </w:divBdr>
                                                                                  <w:divsChild>
                                                                                    <w:div w:id="162865291">
                                                                                      <w:marLeft w:val="0"/>
                                                                                      <w:marRight w:val="0"/>
                                                                                      <w:marTop w:val="0"/>
                                                                                      <w:marBottom w:val="0"/>
                                                                                      <w:divBdr>
                                                                                        <w:top w:val="none" w:sz="0" w:space="0" w:color="auto"/>
                                                                                        <w:left w:val="none" w:sz="0" w:space="0" w:color="auto"/>
                                                                                        <w:bottom w:val="none" w:sz="0" w:space="0" w:color="auto"/>
                                                                                        <w:right w:val="none" w:sz="0" w:space="0" w:color="auto"/>
                                                                                      </w:divBdr>
                                                                                      <w:divsChild>
                                                                                        <w:div w:id="118573959">
                                                                                          <w:marLeft w:val="0"/>
                                                                                          <w:marRight w:val="0"/>
                                                                                          <w:marTop w:val="0"/>
                                                                                          <w:marBottom w:val="0"/>
                                                                                          <w:divBdr>
                                                                                            <w:top w:val="none" w:sz="0" w:space="0" w:color="auto"/>
                                                                                            <w:left w:val="none" w:sz="0" w:space="0" w:color="auto"/>
                                                                                            <w:bottom w:val="none" w:sz="0" w:space="0" w:color="auto"/>
                                                                                            <w:right w:val="none" w:sz="0" w:space="0" w:color="auto"/>
                                                                                          </w:divBdr>
                                                                                          <w:divsChild>
                                                                                            <w:div w:id="247692590">
                                                                                              <w:marLeft w:val="0"/>
                                                                                              <w:marRight w:val="0"/>
                                                                                              <w:marTop w:val="0"/>
                                                                                              <w:marBottom w:val="0"/>
                                                                                              <w:divBdr>
                                                                                                <w:top w:val="none" w:sz="0" w:space="0" w:color="auto"/>
                                                                                                <w:left w:val="none" w:sz="0" w:space="0" w:color="auto"/>
                                                                                                <w:bottom w:val="none" w:sz="0" w:space="0" w:color="auto"/>
                                                                                                <w:right w:val="none" w:sz="0" w:space="0" w:color="auto"/>
                                                                                              </w:divBdr>
                                                                                              <w:divsChild>
                                                                                                <w:div w:id="1473982191">
                                                                                                  <w:marLeft w:val="0"/>
                                                                                                  <w:marRight w:val="0"/>
                                                                                                  <w:marTop w:val="0"/>
                                                                                                  <w:marBottom w:val="0"/>
                                                                                                  <w:divBdr>
                                                                                                    <w:top w:val="none" w:sz="0" w:space="0" w:color="auto"/>
                                                                                                    <w:left w:val="none" w:sz="0" w:space="0" w:color="auto"/>
                                                                                                    <w:bottom w:val="none" w:sz="0" w:space="0" w:color="auto"/>
                                                                                                    <w:right w:val="none" w:sz="0" w:space="0" w:color="auto"/>
                                                                                                  </w:divBdr>
                                                                                                  <w:divsChild>
                                                                                                    <w:div w:id="20672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022062">
      <w:bodyDiv w:val="1"/>
      <w:marLeft w:val="0"/>
      <w:marRight w:val="0"/>
      <w:marTop w:val="0"/>
      <w:marBottom w:val="0"/>
      <w:divBdr>
        <w:top w:val="none" w:sz="0" w:space="0" w:color="auto"/>
        <w:left w:val="none" w:sz="0" w:space="0" w:color="auto"/>
        <w:bottom w:val="none" w:sz="0" w:space="0" w:color="auto"/>
        <w:right w:val="none" w:sz="0" w:space="0" w:color="auto"/>
      </w:divBdr>
    </w:div>
    <w:div w:id="1869638253">
      <w:bodyDiv w:val="1"/>
      <w:marLeft w:val="0"/>
      <w:marRight w:val="0"/>
      <w:marTop w:val="0"/>
      <w:marBottom w:val="0"/>
      <w:divBdr>
        <w:top w:val="none" w:sz="0" w:space="0" w:color="auto"/>
        <w:left w:val="none" w:sz="0" w:space="0" w:color="auto"/>
        <w:bottom w:val="none" w:sz="0" w:space="0" w:color="auto"/>
        <w:right w:val="none" w:sz="0" w:space="0" w:color="auto"/>
      </w:divBdr>
    </w:div>
    <w:div w:id="1885017400">
      <w:bodyDiv w:val="1"/>
      <w:marLeft w:val="0"/>
      <w:marRight w:val="0"/>
      <w:marTop w:val="0"/>
      <w:marBottom w:val="0"/>
      <w:divBdr>
        <w:top w:val="none" w:sz="0" w:space="0" w:color="auto"/>
        <w:left w:val="none" w:sz="0" w:space="0" w:color="auto"/>
        <w:bottom w:val="none" w:sz="0" w:space="0" w:color="auto"/>
        <w:right w:val="none" w:sz="0" w:space="0" w:color="auto"/>
      </w:divBdr>
    </w:div>
    <w:div w:id="1904876175">
      <w:bodyDiv w:val="1"/>
      <w:marLeft w:val="0"/>
      <w:marRight w:val="0"/>
      <w:marTop w:val="0"/>
      <w:marBottom w:val="0"/>
      <w:divBdr>
        <w:top w:val="none" w:sz="0" w:space="0" w:color="auto"/>
        <w:left w:val="none" w:sz="0" w:space="0" w:color="auto"/>
        <w:bottom w:val="none" w:sz="0" w:space="0" w:color="auto"/>
        <w:right w:val="none" w:sz="0" w:space="0" w:color="auto"/>
      </w:divBdr>
    </w:div>
    <w:div w:id="1909458268">
      <w:bodyDiv w:val="1"/>
      <w:marLeft w:val="0"/>
      <w:marRight w:val="0"/>
      <w:marTop w:val="0"/>
      <w:marBottom w:val="0"/>
      <w:divBdr>
        <w:top w:val="none" w:sz="0" w:space="0" w:color="auto"/>
        <w:left w:val="none" w:sz="0" w:space="0" w:color="auto"/>
        <w:bottom w:val="none" w:sz="0" w:space="0" w:color="auto"/>
        <w:right w:val="none" w:sz="0" w:space="0" w:color="auto"/>
      </w:divBdr>
    </w:div>
    <w:div w:id="1911571181">
      <w:bodyDiv w:val="1"/>
      <w:marLeft w:val="0"/>
      <w:marRight w:val="0"/>
      <w:marTop w:val="0"/>
      <w:marBottom w:val="0"/>
      <w:divBdr>
        <w:top w:val="none" w:sz="0" w:space="0" w:color="auto"/>
        <w:left w:val="none" w:sz="0" w:space="0" w:color="auto"/>
        <w:bottom w:val="none" w:sz="0" w:space="0" w:color="auto"/>
        <w:right w:val="none" w:sz="0" w:space="0" w:color="auto"/>
      </w:divBdr>
    </w:div>
    <w:div w:id="1912764148">
      <w:bodyDiv w:val="1"/>
      <w:marLeft w:val="0"/>
      <w:marRight w:val="0"/>
      <w:marTop w:val="0"/>
      <w:marBottom w:val="0"/>
      <w:divBdr>
        <w:top w:val="none" w:sz="0" w:space="0" w:color="auto"/>
        <w:left w:val="none" w:sz="0" w:space="0" w:color="auto"/>
        <w:bottom w:val="none" w:sz="0" w:space="0" w:color="auto"/>
        <w:right w:val="none" w:sz="0" w:space="0" w:color="auto"/>
      </w:divBdr>
    </w:div>
    <w:div w:id="1920864862">
      <w:bodyDiv w:val="1"/>
      <w:marLeft w:val="0"/>
      <w:marRight w:val="0"/>
      <w:marTop w:val="0"/>
      <w:marBottom w:val="0"/>
      <w:divBdr>
        <w:top w:val="none" w:sz="0" w:space="0" w:color="auto"/>
        <w:left w:val="none" w:sz="0" w:space="0" w:color="auto"/>
        <w:bottom w:val="none" w:sz="0" w:space="0" w:color="auto"/>
        <w:right w:val="none" w:sz="0" w:space="0" w:color="auto"/>
      </w:divBdr>
    </w:div>
    <w:div w:id="1949308592">
      <w:bodyDiv w:val="1"/>
      <w:marLeft w:val="0"/>
      <w:marRight w:val="0"/>
      <w:marTop w:val="0"/>
      <w:marBottom w:val="0"/>
      <w:divBdr>
        <w:top w:val="none" w:sz="0" w:space="0" w:color="auto"/>
        <w:left w:val="none" w:sz="0" w:space="0" w:color="auto"/>
        <w:bottom w:val="none" w:sz="0" w:space="0" w:color="auto"/>
        <w:right w:val="none" w:sz="0" w:space="0" w:color="auto"/>
      </w:divBdr>
    </w:div>
    <w:div w:id="1956982636">
      <w:bodyDiv w:val="1"/>
      <w:marLeft w:val="0"/>
      <w:marRight w:val="0"/>
      <w:marTop w:val="0"/>
      <w:marBottom w:val="0"/>
      <w:divBdr>
        <w:top w:val="none" w:sz="0" w:space="0" w:color="auto"/>
        <w:left w:val="none" w:sz="0" w:space="0" w:color="auto"/>
        <w:bottom w:val="none" w:sz="0" w:space="0" w:color="auto"/>
        <w:right w:val="none" w:sz="0" w:space="0" w:color="auto"/>
      </w:divBdr>
    </w:div>
    <w:div w:id="1957323244">
      <w:bodyDiv w:val="1"/>
      <w:marLeft w:val="0"/>
      <w:marRight w:val="0"/>
      <w:marTop w:val="0"/>
      <w:marBottom w:val="0"/>
      <w:divBdr>
        <w:top w:val="none" w:sz="0" w:space="0" w:color="auto"/>
        <w:left w:val="none" w:sz="0" w:space="0" w:color="auto"/>
        <w:bottom w:val="none" w:sz="0" w:space="0" w:color="auto"/>
        <w:right w:val="none" w:sz="0" w:space="0" w:color="auto"/>
      </w:divBdr>
    </w:div>
    <w:div w:id="1959483066">
      <w:bodyDiv w:val="1"/>
      <w:marLeft w:val="0"/>
      <w:marRight w:val="0"/>
      <w:marTop w:val="0"/>
      <w:marBottom w:val="0"/>
      <w:divBdr>
        <w:top w:val="none" w:sz="0" w:space="0" w:color="auto"/>
        <w:left w:val="none" w:sz="0" w:space="0" w:color="auto"/>
        <w:bottom w:val="none" w:sz="0" w:space="0" w:color="auto"/>
        <w:right w:val="none" w:sz="0" w:space="0" w:color="auto"/>
      </w:divBdr>
    </w:div>
    <w:div w:id="1963488710">
      <w:bodyDiv w:val="1"/>
      <w:marLeft w:val="0"/>
      <w:marRight w:val="0"/>
      <w:marTop w:val="0"/>
      <w:marBottom w:val="0"/>
      <w:divBdr>
        <w:top w:val="none" w:sz="0" w:space="0" w:color="auto"/>
        <w:left w:val="none" w:sz="0" w:space="0" w:color="auto"/>
        <w:bottom w:val="none" w:sz="0" w:space="0" w:color="auto"/>
        <w:right w:val="none" w:sz="0" w:space="0" w:color="auto"/>
      </w:divBdr>
    </w:div>
    <w:div w:id="1964387097">
      <w:bodyDiv w:val="1"/>
      <w:marLeft w:val="0"/>
      <w:marRight w:val="0"/>
      <w:marTop w:val="0"/>
      <w:marBottom w:val="0"/>
      <w:divBdr>
        <w:top w:val="none" w:sz="0" w:space="0" w:color="auto"/>
        <w:left w:val="none" w:sz="0" w:space="0" w:color="auto"/>
        <w:bottom w:val="none" w:sz="0" w:space="0" w:color="auto"/>
        <w:right w:val="none" w:sz="0" w:space="0" w:color="auto"/>
      </w:divBdr>
    </w:div>
    <w:div w:id="1989703935">
      <w:bodyDiv w:val="1"/>
      <w:marLeft w:val="0"/>
      <w:marRight w:val="0"/>
      <w:marTop w:val="0"/>
      <w:marBottom w:val="0"/>
      <w:divBdr>
        <w:top w:val="none" w:sz="0" w:space="0" w:color="auto"/>
        <w:left w:val="none" w:sz="0" w:space="0" w:color="auto"/>
        <w:bottom w:val="none" w:sz="0" w:space="0" w:color="auto"/>
        <w:right w:val="none" w:sz="0" w:space="0" w:color="auto"/>
      </w:divBdr>
    </w:div>
    <w:div w:id="2023890719">
      <w:bodyDiv w:val="1"/>
      <w:marLeft w:val="0"/>
      <w:marRight w:val="0"/>
      <w:marTop w:val="0"/>
      <w:marBottom w:val="0"/>
      <w:divBdr>
        <w:top w:val="none" w:sz="0" w:space="0" w:color="auto"/>
        <w:left w:val="none" w:sz="0" w:space="0" w:color="auto"/>
        <w:bottom w:val="none" w:sz="0" w:space="0" w:color="auto"/>
        <w:right w:val="none" w:sz="0" w:space="0" w:color="auto"/>
      </w:divBdr>
    </w:div>
    <w:div w:id="2027636241">
      <w:bodyDiv w:val="1"/>
      <w:marLeft w:val="0"/>
      <w:marRight w:val="0"/>
      <w:marTop w:val="0"/>
      <w:marBottom w:val="0"/>
      <w:divBdr>
        <w:top w:val="none" w:sz="0" w:space="0" w:color="auto"/>
        <w:left w:val="none" w:sz="0" w:space="0" w:color="auto"/>
        <w:bottom w:val="none" w:sz="0" w:space="0" w:color="auto"/>
        <w:right w:val="none" w:sz="0" w:space="0" w:color="auto"/>
      </w:divBdr>
    </w:div>
    <w:div w:id="2060012946">
      <w:bodyDiv w:val="1"/>
      <w:marLeft w:val="0"/>
      <w:marRight w:val="0"/>
      <w:marTop w:val="0"/>
      <w:marBottom w:val="0"/>
      <w:divBdr>
        <w:top w:val="none" w:sz="0" w:space="0" w:color="auto"/>
        <w:left w:val="none" w:sz="0" w:space="0" w:color="auto"/>
        <w:bottom w:val="none" w:sz="0" w:space="0" w:color="auto"/>
        <w:right w:val="none" w:sz="0" w:space="0" w:color="auto"/>
      </w:divBdr>
      <w:divsChild>
        <w:div w:id="1755857868">
          <w:marLeft w:val="0"/>
          <w:marRight w:val="0"/>
          <w:marTop w:val="0"/>
          <w:marBottom w:val="0"/>
          <w:divBdr>
            <w:top w:val="none" w:sz="0" w:space="0" w:color="auto"/>
            <w:left w:val="none" w:sz="0" w:space="0" w:color="auto"/>
            <w:bottom w:val="none" w:sz="0" w:space="0" w:color="auto"/>
            <w:right w:val="none" w:sz="0" w:space="0" w:color="auto"/>
          </w:divBdr>
          <w:divsChild>
            <w:div w:id="1699619928">
              <w:marLeft w:val="0"/>
              <w:marRight w:val="0"/>
              <w:marTop w:val="0"/>
              <w:marBottom w:val="0"/>
              <w:divBdr>
                <w:top w:val="none" w:sz="0" w:space="0" w:color="auto"/>
                <w:left w:val="none" w:sz="0" w:space="0" w:color="auto"/>
                <w:bottom w:val="none" w:sz="0" w:space="0" w:color="auto"/>
                <w:right w:val="none" w:sz="0" w:space="0" w:color="auto"/>
              </w:divBdr>
              <w:divsChild>
                <w:div w:id="1492335486">
                  <w:marLeft w:val="138"/>
                  <w:marRight w:val="138"/>
                  <w:marTop w:val="138"/>
                  <w:marBottom w:val="138"/>
                  <w:divBdr>
                    <w:top w:val="none" w:sz="0" w:space="0" w:color="auto"/>
                    <w:left w:val="none" w:sz="0" w:space="0" w:color="auto"/>
                    <w:bottom w:val="none" w:sz="0" w:space="0" w:color="auto"/>
                    <w:right w:val="none" w:sz="0" w:space="0" w:color="auto"/>
                  </w:divBdr>
                </w:div>
              </w:divsChild>
            </w:div>
          </w:divsChild>
        </w:div>
      </w:divsChild>
    </w:div>
    <w:div w:id="2060202060">
      <w:bodyDiv w:val="1"/>
      <w:marLeft w:val="0"/>
      <w:marRight w:val="0"/>
      <w:marTop w:val="0"/>
      <w:marBottom w:val="0"/>
      <w:divBdr>
        <w:top w:val="none" w:sz="0" w:space="0" w:color="auto"/>
        <w:left w:val="none" w:sz="0" w:space="0" w:color="auto"/>
        <w:bottom w:val="none" w:sz="0" w:space="0" w:color="auto"/>
        <w:right w:val="none" w:sz="0" w:space="0" w:color="auto"/>
      </w:divBdr>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
    <w:div w:id="2067291791">
      <w:bodyDiv w:val="1"/>
      <w:marLeft w:val="0"/>
      <w:marRight w:val="0"/>
      <w:marTop w:val="0"/>
      <w:marBottom w:val="0"/>
      <w:divBdr>
        <w:top w:val="none" w:sz="0" w:space="0" w:color="auto"/>
        <w:left w:val="none" w:sz="0" w:space="0" w:color="auto"/>
        <w:bottom w:val="none" w:sz="0" w:space="0" w:color="auto"/>
        <w:right w:val="none" w:sz="0" w:space="0" w:color="auto"/>
      </w:divBdr>
    </w:div>
    <w:div w:id="2069835018">
      <w:bodyDiv w:val="1"/>
      <w:marLeft w:val="0"/>
      <w:marRight w:val="0"/>
      <w:marTop w:val="0"/>
      <w:marBottom w:val="0"/>
      <w:divBdr>
        <w:top w:val="none" w:sz="0" w:space="0" w:color="auto"/>
        <w:left w:val="none" w:sz="0" w:space="0" w:color="auto"/>
        <w:bottom w:val="none" w:sz="0" w:space="0" w:color="auto"/>
        <w:right w:val="none" w:sz="0" w:space="0" w:color="auto"/>
      </w:divBdr>
    </w:div>
    <w:div w:id="2079211475">
      <w:bodyDiv w:val="1"/>
      <w:marLeft w:val="0"/>
      <w:marRight w:val="0"/>
      <w:marTop w:val="0"/>
      <w:marBottom w:val="0"/>
      <w:divBdr>
        <w:top w:val="none" w:sz="0" w:space="0" w:color="auto"/>
        <w:left w:val="none" w:sz="0" w:space="0" w:color="auto"/>
        <w:bottom w:val="none" w:sz="0" w:space="0" w:color="auto"/>
        <w:right w:val="none" w:sz="0" w:space="0" w:color="auto"/>
      </w:divBdr>
    </w:div>
    <w:div w:id="2101020868">
      <w:bodyDiv w:val="1"/>
      <w:marLeft w:val="0"/>
      <w:marRight w:val="0"/>
      <w:marTop w:val="0"/>
      <w:marBottom w:val="0"/>
      <w:divBdr>
        <w:top w:val="none" w:sz="0" w:space="0" w:color="auto"/>
        <w:left w:val="none" w:sz="0" w:space="0" w:color="auto"/>
        <w:bottom w:val="none" w:sz="0" w:space="0" w:color="auto"/>
        <w:right w:val="none" w:sz="0" w:space="0" w:color="auto"/>
      </w:divBdr>
    </w:div>
    <w:div w:id="2117478147">
      <w:bodyDiv w:val="1"/>
      <w:marLeft w:val="0"/>
      <w:marRight w:val="0"/>
      <w:marTop w:val="0"/>
      <w:marBottom w:val="0"/>
      <w:divBdr>
        <w:top w:val="none" w:sz="0" w:space="0" w:color="auto"/>
        <w:left w:val="none" w:sz="0" w:space="0" w:color="auto"/>
        <w:bottom w:val="none" w:sz="0" w:space="0" w:color="auto"/>
        <w:right w:val="none" w:sz="0" w:space="0" w:color="auto"/>
      </w:divBdr>
    </w:div>
    <w:div w:id="2138833894">
      <w:bodyDiv w:val="1"/>
      <w:marLeft w:val="0"/>
      <w:marRight w:val="0"/>
      <w:marTop w:val="0"/>
      <w:marBottom w:val="0"/>
      <w:divBdr>
        <w:top w:val="none" w:sz="0" w:space="0" w:color="auto"/>
        <w:left w:val="none" w:sz="0" w:space="0" w:color="auto"/>
        <w:bottom w:val="none" w:sz="0" w:space="0" w:color="auto"/>
        <w:right w:val="none" w:sz="0" w:space="0" w:color="auto"/>
      </w:divBdr>
    </w:div>
    <w:div w:id="21441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image" Target="media/image4.jpeg"/><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diagramQuickStyle" Target="diagrams/quickStyle1.xml"/><Relationship Id="rId25" Type="http://schemas.openxmlformats.org/officeDocument/2006/relationships/image" Target="media/image3.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2.xm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6.emf"/><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diagramQuickStyle" Target="diagrams/quickStyle2.xml"/><Relationship Id="rId27" Type="http://schemas.openxmlformats.org/officeDocument/2006/relationships/image" Target="media/image5.emf"/><Relationship Id="rId30" Type="http://schemas.openxmlformats.org/officeDocument/2006/relationships/image" Target="media/image8.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jm.com/~/media/about-pjm/newsroom/fact-sheets/locational-marginal-pricing-fact-sheet.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1A30EB-9F1F-7B45-BB18-6458F48F718C}" type="doc">
      <dgm:prSet loTypeId="urn:microsoft.com/office/officeart/2005/8/layout/hierarchy4" loCatId="" qsTypeId="urn:microsoft.com/office/officeart/2005/8/quickstyle/simple1" qsCatId="simple" csTypeId="urn:microsoft.com/office/officeart/2005/8/colors/accent1_2" csCatId="accent1" phldr="1"/>
      <dgm:spPr/>
    </dgm:pt>
    <dgm:pt modelId="{83C4BB45-07D2-0841-B431-3FACAC8750BE}">
      <dgm:prSet phldrT="[Text]"/>
      <dgm:spPr/>
      <dgm:t>
        <a:bodyPr/>
        <a:lstStyle/>
        <a:p>
          <a:r>
            <a:rPr lang="en-US">
              <a:latin typeface="Arial" panose="020B0604020202020204" pitchFamily="34" charset="0"/>
              <a:cs typeface="Arial" panose="020B0604020202020204" pitchFamily="34" charset="0"/>
            </a:rPr>
            <a:t>Network sunk cost (fixed)</a:t>
          </a:r>
        </a:p>
      </dgm:t>
    </dgm:pt>
    <dgm:pt modelId="{D2E9FFB9-F8B1-2946-A946-38122F3AB513}" type="parTrans" cxnId="{AA5F1772-AE8C-A947-859B-A4483101F630}">
      <dgm:prSet/>
      <dgm:spPr/>
      <dgm:t>
        <a:bodyPr/>
        <a:lstStyle/>
        <a:p>
          <a:endParaRPr lang="en-US">
            <a:latin typeface="Arial" panose="020B0604020202020204" pitchFamily="34" charset="0"/>
            <a:cs typeface="Arial" panose="020B0604020202020204" pitchFamily="34" charset="0"/>
          </a:endParaRPr>
        </a:p>
      </dgm:t>
    </dgm:pt>
    <dgm:pt modelId="{2C9BD1C5-7757-FF41-B4D6-51AC177DECF5}" type="sibTrans" cxnId="{AA5F1772-AE8C-A947-859B-A4483101F630}">
      <dgm:prSet/>
      <dgm:spPr/>
      <dgm:t>
        <a:bodyPr/>
        <a:lstStyle/>
        <a:p>
          <a:endParaRPr lang="en-US">
            <a:latin typeface="Arial" panose="020B0604020202020204" pitchFamily="34" charset="0"/>
            <a:cs typeface="Arial" panose="020B0604020202020204" pitchFamily="34" charset="0"/>
          </a:endParaRPr>
        </a:p>
      </dgm:t>
    </dgm:pt>
    <dgm:pt modelId="{FCFFC4EF-F374-F24E-9EC9-B62E293F5CE2}">
      <dgm:prSet phldrT="[Text]"/>
      <dgm:spPr/>
      <dgm:t>
        <a:bodyPr/>
        <a:lstStyle/>
        <a:p>
          <a:r>
            <a:rPr lang="en-US">
              <a:latin typeface="Arial" panose="020B0604020202020204" pitchFamily="34" charset="0"/>
              <a:cs typeface="Arial" panose="020B0604020202020204" pitchFamily="34" charset="0"/>
            </a:rPr>
            <a:t>Network maintenance costs (variable)</a:t>
          </a:r>
        </a:p>
      </dgm:t>
    </dgm:pt>
    <dgm:pt modelId="{439E522D-7FE5-3C44-8E10-FFCDA88DF890}" type="parTrans" cxnId="{04C55B7E-0089-F046-A17C-3FC6393099B6}">
      <dgm:prSet/>
      <dgm:spPr/>
      <dgm:t>
        <a:bodyPr/>
        <a:lstStyle/>
        <a:p>
          <a:endParaRPr lang="en-US">
            <a:latin typeface="Arial" panose="020B0604020202020204" pitchFamily="34" charset="0"/>
            <a:cs typeface="Arial" panose="020B0604020202020204" pitchFamily="34" charset="0"/>
          </a:endParaRPr>
        </a:p>
      </dgm:t>
    </dgm:pt>
    <dgm:pt modelId="{C2A4B5C1-9CA0-8146-B5B4-22A7FB25EF46}" type="sibTrans" cxnId="{04C55B7E-0089-F046-A17C-3FC6393099B6}">
      <dgm:prSet/>
      <dgm:spPr/>
      <dgm:t>
        <a:bodyPr/>
        <a:lstStyle/>
        <a:p>
          <a:endParaRPr lang="en-US">
            <a:latin typeface="Arial" panose="020B0604020202020204" pitchFamily="34" charset="0"/>
            <a:cs typeface="Arial" panose="020B0604020202020204" pitchFamily="34" charset="0"/>
          </a:endParaRPr>
        </a:p>
      </dgm:t>
    </dgm:pt>
    <dgm:pt modelId="{2ECED815-91EC-F744-861D-7700EA30FC46}">
      <dgm:prSet phldrT="[Text]"/>
      <dgm:spPr/>
      <dgm:t>
        <a:bodyPr/>
        <a:lstStyle/>
        <a:p>
          <a:r>
            <a:rPr lang="en-US">
              <a:latin typeface="Arial" panose="020B0604020202020204" pitchFamily="34" charset="0"/>
              <a:cs typeface="Arial" panose="020B0604020202020204" pitchFamily="34" charset="0"/>
            </a:rPr>
            <a:t>Network operations costs (variable)</a:t>
          </a:r>
        </a:p>
      </dgm:t>
    </dgm:pt>
    <dgm:pt modelId="{B58EBA40-A167-E747-94CE-F86DB045DE88}" type="parTrans" cxnId="{93BD624C-7151-714B-8E9B-00FE637F9641}">
      <dgm:prSet/>
      <dgm:spPr/>
      <dgm:t>
        <a:bodyPr/>
        <a:lstStyle/>
        <a:p>
          <a:endParaRPr lang="en-US">
            <a:latin typeface="Arial" panose="020B0604020202020204" pitchFamily="34" charset="0"/>
            <a:cs typeface="Arial" panose="020B0604020202020204" pitchFamily="34" charset="0"/>
          </a:endParaRPr>
        </a:p>
      </dgm:t>
    </dgm:pt>
    <dgm:pt modelId="{C772B81F-F82B-2141-8DF4-F2325BDA2727}" type="sibTrans" cxnId="{93BD624C-7151-714B-8E9B-00FE637F9641}">
      <dgm:prSet/>
      <dgm:spPr/>
      <dgm:t>
        <a:bodyPr/>
        <a:lstStyle/>
        <a:p>
          <a:endParaRPr lang="en-US">
            <a:latin typeface="Arial" panose="020B0604020202020204" pitchFamily="34" charset="0"/>
            <a:cs typeface="Arial" panose="020B0604020202020204" pitchFamily="34" charset="0"/>
          </a:endParaRPr>
        </a:p>
      </dgm:t>
    </dgm:pt>
    <dgm:pt modelId="{42B43493-64AB-8549-B19D-59F9AB9FA452}">
      <dgm:prSet phldrT="[Text]"/>
      <dgm:spPr/>
      <dgm:t>
        <a:bodyPr/>
        <a:lstStyle/>
        <a:p>
          <a:r>
            <a:rPr lang="en-US">
              <a:latin typeface="Arial" panose="020B0604020202020204" pitchFamily="34" charset="0"/>
              <a:cs typeface="Arial" panose="020B0604020202020204" pitchFamily="34" charset="0"/>
            </a:rPr>
            <a:t>Transmission losses</a:t>
          </a:r>
        </a:p>
      </dgm:t>
    </dgm:pt>
    <dgm:pt modelId="{2D8C7416-BD8F-4C48-BC14-7FC739BE5C48}" type="parTrans" cxnId="{3F74C5A3-6108-3343-B47C-A0F3D0C4497B}">
      <dgm:prSet/>
      <dgm:spPr/>
      <dgm:t>
        <a:bodyPr/>
        <a:lstStyle/>
        <a:p>
          <a:endParaRPr lang="en-US">
            <a:latin typeface="Arial" panose="020B0604020202020204" pitchFamily="34" charset="0"/>
            <a:cs typeface="Arial" panose="020B0604020202020204" pitchFamily="34" charset="0"/>
          </a:endParaRPr>
        </a:p>
      </dgm:t>
    </dgm:pt>
    <dgm:pt modelId="{A3A0F8BD-9A25-BC41-A6EA-E6983D89A3C2}" type="sibTrans" cxnId="{3F74C5A3-6108-3343-B47C-A0F3D0C4497B}">
      <dgm:prSet/>
      <dgm:spPr/>
      <dgm:t>
        <a:bodyPr/>
        <a:lstStyle/>
        <a:p>
          <a:endParaRPr lang="en-US">
            <a:latin typeface="Arial" panose="020B0604020202020204" pitchFamily="34" charset="0"/>
            <a:cs typeface="Arial" panose="020B0604020202020204" pitchFamily="34" charset="0"/>
          </a:endParaRPr>
        </a:p>
      </dgm:t>
    </dgm:pt>
    <dgm:pt modelId="{D59E6B4C-26A6-F14D-B44B-4382981397B3}">
      <dgm:prSet phldrT="[Text]"/>
      <dgm:spPr/>
      <dgm:t>
        <a:bodyPr/>
        <a:lstStyle/>
        <a:p>
          <a:r>
            <a:rPr lang="en-US">
              <a:latin typeface="Arial" panose="020B0604020202020204" pitchFamily="34" charset="0"/>
              <a:cs typeface="Arial" panose="020B0604020202020204" pitchFamily="34" charset="0"/>
            </a:rPr>
            <a:t>Ancillary services</a:t>
          </a:r>
        </a:p>
      </dgm:t>
    </dgm:pt>
    <dgm:pt modelId="{94A13273-D625-A14B-A891-62618428BA24}" type="parTrans" cxnId="{BE53E1FD-55C0-F741-ADF6-4D24AFC7F7FC}">
      <dgm:prSet/>
      <dgm:spPr/>
      <dgm:t>
        <a:bodyPr/>
        <a:lstStyle/>
        <a:p>
          <a:endParaRPr lang="en-US">
            <a:latin typeface="Arial" panose="020B0604020202020204" pitchFamily="34" charset="0"/>
            <a:cs typeface="Arial" panose="020B0604020202020204" pitchFamily="34" charset="0"/>
          </a:endParaRPr>
        </a:p>
      </dgm:t>
    </dgm:pt>
    <dgm:pt modelId="{AC0E0836-BD2A-194B-B416-987CC8D2A191}" type="sibTrans" cxnId="{BE53E1FD-55C0-F741-ADF6-4D24AFC7F7FC}">
      <dgm:prSet/>
      <dgm:spPr/>
      <dgm:t>
        <a:bodyPr/>
        <a:lstStyle/>
        <a:p>
          <a:endParaRPr lang="en-US">
            <a:latin typeface="Arial" panose="020B0604020202020204" pitchFamily="34" charset="0"/>
            <a:cs typeface="Arial" panose="020B0604020202020204" pitchFamily="34" charset="0"/>
          </a:endParaRPr>
        </a:p>
      </dgm:t>
    </dgm:pt>
    <dgm:pt modelId="{98C576C5-1EF4-AE4C-B3CA-63563053597E}">
      <dgm:prSet phldrT="[Text]"/>
      <dgm:spPr/>
      <dgm:t>
        <a:bodyPr/>
        <a:lstStyle/>
        <a:p>
          <a:r>
            <a:rPr lang="en-US">
              <a:latin typeface="Arial" panose="020B0604020202020204" pitchFamily="34" charset="0"/>
              <a:cs typeface="Arial" panose="020B0604020202020204" pitchFamily="34" charset="0"/>
            </a:rPr>
            <a:t>Total Network Costs to be Receovered</a:t>
          </a:r>
        </a:p>
      </dgm:t>
    </dgm:pt>
    <dgm:pt modelId="{802FC70A-B025-5847-AAB6-514132B8E250}" type="parTrans" cxnId="{CE1DD552-CABB-3A4F-B9E2-BE48EF0C0192}">
      <dgm:prSet/>
      <dgm:spPr/>
      <dgm:t>
        <a:bodyPr/>
        <a:lstStyle/>
        <a:p>
          <a:endParaRPr lang="en-US">
            <a:latin typeface="Arial" panose="020B0604020202020204" pitchFamily="34" charset="0"/>
            <a:cs typeface="Arial" panose="020B0604020202020204" pitchFamily="34" charset="0"/>
          </a:endParaRPr>
        </a:p>
      </dgm:t>
    </dgm:pt>
    <dgm:pt modelId="{C0F4BD82-2BEC-F84B-ADB8-1075372D0146}" type="sibTrans" cxnId="{CE1DD552-CABB-3A4F-B9E2-BE48EF0C0192}">
      <dgm:prSet/>
      <dgm:spPr/>
      <dgm:t>
        <a:bodyPr/>
        <a:lstStyle/>
        <a:p>
          <a:endParaRPr lang="en-US">
            <a:latin typeface="Arial" panose="020B0604020202020204" pitchFamily="34" charset="0"/>
            <a:cs typeface="Arial" panose="020B0604020202020204" pitchFamily="34" charset="0"/>
          </a:endParaRPr>
        </a:p>
      </dgm:t>
    </dgm:pt>
    <dgm:pt modelId="{FD169B90-4DF7-8B4D-93A3-E5126587BE02}">
      <dgm:prSet phldrT="[Text]" custT="1"/>
      <dgm:spPr/>
      <dgm:t>
        <a:bodyPr/>
        <a:lstStyle/>
        <a:p>
          <a:r>
            <a:rPr lang="en-US" sz="800">
              <a:latin typeface="Arial" panose="020B0604020202020204" pitchFamily="34" charset="0"/>
              <a:cs typeface="Arial" panose="020B0604020202020204" pitchFamily="34" charset="0"/>
            </a:rPr>
            <a:t>Cost allocation methodology</a:t>
          </a:r>
        </a:p>
      </dgm:t>
    </dgm:pt>
    <dgm:pt modelId="{A74056E3-BD70-F842-AE60-017622F56190}" type="parTrans" cxnId="{5C02D9C6-9C3D-6243-A5D1-9F5CF4230205}">
      <dgm:prSet/>
      <dgm:spPr/>
      <dgm:t>
        <a:bodyPr/>
        <a:lstStyle/>
        <a:p>
          <a:endParaRPr lang="en-US">
            <a:latin typeface="Arial" panose="020B0604020202020204" pitchFamily="34" charset="0"/>
            <a:cs typeface="Arial" panose="020B0604020202020204" pitchFamily="34" charset="0"/>
          </a:endParaRPr>
        </a:p>
      </dgm:t>
    </dgm:pt>
    <dgm:pt modelId="{B627D085-FEB7-6445-8132-FDF685E4722C}" type="sibTrans" cxnId="{5C02D9C6-9C3D-6243-A5D1-9F5CF4230205}">
      <dgm:prSet/>
      <dgm:spPr/>
      <dgm:t>
        <a:bodyPr/>
        <a:lstStyle/>
        <a:p>
          <a:endParaRPr lang="en-US">
            <a:latin typeface="Arial" panose="020B0604020202020204" pitchFamily="34" charset="0"/>
            <a:cs typeface="Arial" panose="020B0604020202020204" pitchFamily="34" charset="0"/>
          </a:endParaRPr>
        </a:p>
      </dgm:t>
    </dgm:pt>
    <dgm:pt modelId="{BEBD0E94-6560-2D48-91C1-C4615988410D}">
      <dgm:prSet phldrT="[Text]"/>
      <dgm:spPr/>
      <dgm:t>
        <a:bodyPr/>
        <a:lstStyle/>
        <a:p>
          <a:r>
            <a:rPr lang="en-US">
              <a:latin typeface="Arial" panose="020B0604020202020204" pitchFamily="34" charset="0"/>
              <a:cs typeface="Arial" panose="020B0604020202020204" pitchFamily="34" charset="0"/>
            </a:rPr>
            <a:t>Cost allocation to market participants</a:t>
          </a:r>
        </a:p>
      </dgm:t>
    </dgm:pt>
    <dgm:pt modelId="{8DB8D92E-E2AC-F84B-95FF-DB0AB4FC584F}" type="parTrans" cxnId="{698B6ECB-EABB-A64F-99A1-7A5E44CA10FC}">
      <dgm:prSet/>
      <dgm:spPr/>
      <dgm:t>
        <a:bodyPr/>
        <a:lstStyle/>
        <a:p>
          <a:endParaRPr lang="en-US">
            <a:latin typeface="Arial" panose="020B0604020202020204" pitchFamily="34" charset="0"/>
            <a:cs typeface="Arial" panose="020B0604020202020204" pitchFamily="34" charset="0"/>
          </a:endParaRPr>
        </a:p>
      </dgm:t>
    </dgm:pt>
    <dgm:pt modelId="{A10436E4-BA1D-514B-A6D5-F25A982D3596}" type="sibTrans" cxnId="{698B6ECB-EABB-A64F-99A1-7A5E44CA10FC}">
      <dgm:prSet/>
      <dgm:spPr/>
      <dgm:t>
        <a:bodyPr/>
        <a:lstStyle/>
        <a:p>
          <a:endParaRPr lang="en-US">
            <a:latin typeface="Arial" panose="020B0604020202020204" pitchFamily="34" charset="0"/>
            <a:cs typeface="Arial" panose="020B0604020202020204" pitchFamily="34" charset="0"/>
          </a:endParaRPr>
        </a:p>
      </dgm:t>
    </dgm:pt>
    <dgm:pt modelId="{246F2D7A-46C2-5545-8F8B-2DA6F39CAC7D}" type="pres">
      <dgm:prSet presAssocID="{871A30EB-9F1F-7B45-BB18-6458F48F718C}" presName="Name0" presStyleCnt="0">
        <dgm:presLayoutVars>
          <dgm:chPref val="1"/>
          <dgm:dir/>
          <dgm:animOne val="branch"/>
          <dgm:animLvl val="lvl"/>
          <dgm:resizeHandles/>
        </dgm:presLayoutVars>
      </dgm:prSet>
      <dgm:spPr/>
    </dgm:pt>
    <dgm:pt modelId="{69CA2040-3250-8747-B238-6F1B61BE372D}" type="pres">
      <dgm:prSet presAssocID="{83C4BB45-07D2-0841-B431-3FACAC8750BE}" presName="vertOne" presStyleCnt="0"/>
      <dgm:spPr/>
    </dgm:pt>
    <dgm:pt modelId="{FC094CA6-C019-FB42-B949-4D5923597A19}" type="pres">
      <dgm:prSet presAssocID="{83C4BB45-07D2-0841-B431-3FACAC8750BE}" presName="txOne" presStyleLbl="node0" presStyleIdx="0" presStyleCnt="5">
        <dgm:presLayoutVars>
          <dgm:chPref val="3"/>
        </dgm:presLayoutVars>
      </dgm:prSet>
      <dgm:spPr/>
      <dgm:t>
        <a:bodyPr/>
        <a:lstStyle/>
        <a:p>
          <a:endParaRPr lang="en-US"/>
        </a:p>
      </dgm:t>
    </dgm:pt>
    <dgm:pt modelId="{15426991-58C1-2943-BEF4-65D6621341D3}" type="pres">
      <dgm:prSet presAssocID="{83C4BB45-07D2-0841-B431-3FACAC8750BE}" presName="horzOne" presStyleCnt="0"/>
      <dgm:spPr/>
    </dgm:pt>
    <dgm:pt modelId="{07FCF14A-4697-3D4D-BEBB-76B823B0C601}" type="pres">
      <dgm:prSet presAssocID="{2C9BD1C5-7757-FF41-B4D6-51AC177DECF5}" presName="sibSpaceOne" presStyleCnt="0"/>
      <dgm:spPr/>
    </dgm:pt>
    <dgm:pt modelId="{883F2807-7ECD-564E-BBFE-43AB1A434BC7}" type="pres">
      <dgm:prSet presAssocID="{FCFFC4EF-F374-F24E-9EC9-B62E293F5CE2}" presName="vertOne" presStyleCnt="0"/>
      <dgm:spPr/>
    </dgm:pt>
    <dgm:pt modelId="{12A67442-4D3C-584E-A116-83869BF89D48}" type="pres">
      <dgm:prSet presAssocID="{FCFFC4EF-F374-F24E-9EC9-B62E293F5CE2}" presName="txOne" presStyleLbl="node0" presStyleIdx="1" presStyleCnt="5">
        <dgm:presLayoutVars>
          <dgm:chPref val="3"/>
        </dgm:presLayoutVars>
      </dgm:prSet>
      <dgm:spPr/>
      <dgm:t>
        <a:bodyPr/>
        <a:lstStyle/>
        <a:p>
          <a:endParaRPr lang="en-US"/>
        </a:p>
      </dgm:t>
    </dgm:pt>
    <dgm:pt modelId="{6222875D-D6EA-474F-A78B-5444CF52C0ED}" type="pres">
      <dgm:prSet presAssocID="{FCFFC4EF-F374-F24E-9EC9-B62E293F5CE2}" presName="horzOne" presStyleCnt="0"/>
      <dgm:spPr/>
    </dgm:pt>
    <dgm:pt modelId="{C3E5FFC2-5BA3-764F-952D-6F1ECCB4152D}" type="pres">
      <dgm:prSet presAssocID="{C2A4B5C1-9CA0-8146-B5B4-22A7FB25EF46}" presName="sibSpaceOne" presStyleCnt="0"/>
      <dgm:spPr/>
    </dgm:pt>
    <dgm:pt modelId="{EAD1E77E-841E-CF42-A526-B1416ED98072}" type="pres">
      <dgm:prSet presAssocID="{2ECED815-91EC-F744-861D-7700EA30FC46}" presName="vertOne" presStyleCnt="0"/>
      <dgm:spPr/>
    </dgm:pt>
    <dgm:pt modelId="{088B290E-50B8-9E44-92B4-79E5CD7C030F}" type="pres">
      <dgm:prSet presAssocID="{2ECED815-91EC-F744-861D-7700EA30FC46}" presName="txOne" presStyleLbl="node0" presStyleIdx="2" presStyleCnt="5">
        <dgm:presLayoutVars>
          <dgm:chPref val="3"/>
        </dgm:presLayoutVars>
      </dgm:prSet>
      <dgm:spPr/>
      <dgm:t>
        <a:bodyPr/>
        <a:lstStyle/>
        <a:p>
          <a:endParaRPr lang="en-US"/>
        </a:p>
      </dgm:t>
    </dgm:pt>
    <dgm:pt modelId="{0E799469-0961-1E4D-84F4-BF130388FF90}" type="pres">
      <dgm:prSet presAssocID="{2ECED815-91EC-F744-861D-7700EA30FC46}" presName="parTransOne" presStyleCnt="0"/>
      <dgm:spPr/>
    </dgm:pt>
    <dgm:pt modelId="{E5C4B0BF-7B6B-B347-8273-3929A9AF95FC}" type="pres">
      <dgm:prSet presAssocID="{2ECED815-91EC-F744-861D-7700EA30FC46}" presName="horzOne" presStyleCnt="0"/>
      <dgm:spPr/>
    </dgm:pt>
    <dgm:pt modelId="{84EB7E18-F472-8E4A-BB44-70935590CBA1}" type="pres">
      <dgm:prSet presAssocID="{98C576C5-1EF4-AE4C-B3CA-63563053597E}" presName="vertTwo" presStyleCnt="0"/>
      <dgm:spPr/>
    </dgm:pt>
    <dgm:pt modelId="{BE16161E-5951-3D4B-833A-85526FEB0ECE}" type="pres">
      <dgm:prSet presAssocID="{98C576C5-1EF4-AE4C-B3CA-63563053597E}" presName="txTwo" presStyleLbl="node2" presStyleIdx="0" presStyleCnt="3">
        <dgm:presLayoutVars>
          <dgm:chPref val="3"/>
        </dgm:presLayoutVars>
      </dgm:prSet>
      <dgm:spPr/>
      <dgm:t>
        <a:bodyPr/>
        <a:lstStyle/>
        <a:p>
          <a:endParaRPr lang="en-US"/>
        </a:p>
      </dgm:t>
    </dgm:pt>
    <dgm:pt modelId="{7A63132B-CB17-D148-A400-8642F00D9A73}" type="pres">
      <dgm:prSet presAssocID="{98C576C5-1EF4-AE4C-B3CA-63563053597E}" presName="horzTwo" presStyleCnt="0"/>
      <dgm:spPr/>
    </dgm:pt>
    <dgm:pt modelId="{44A0B72D-7AA6-3141-ABB4-333F75CCB7F7}" type="pres">
      <dgm:prSet presAssocID="{C0F4BD82-2BEC-F84B-ADB8-1075372D0146}" presName="sibSpaceTwo" presStyleCnt="0"/>
      <dgm:spPr/>
    </dgm:pt>
    <dgm:pt modelId="{B87D9F54-33F1-4448-95BB-E00DE099B619}" type="pres">
      <dgm:prSet presAssocID="{FD169B90-4DF7-8B4D-93A3-E5126587BE02}" presName="vertTwo" presStyleCnt="0"/>
      <dgm:spPr/>
    </dgm:pt>
    <dgm:pt modelId="{CB3F8FF6-F79B-C04B-A7F5-1B64C900CB8A}" type="pres">
      <dgm:prSet presAssocID="{FD169B90-4DF7-8B4D-93A3-E5126587BE02}" presName="txTwo" presStyleLbl="node2" presStyleIdx="1" presStyleCnt="3">
        <dgm:presLayoutVars>
          <dgm:chPref val="3"/>
        </dgm:presLayoutVars>
      </dgm:prSet>
      <dgm:spPr/>
      <dgm:t>
        <a:bodyPr/>
        <a:lstStyle/>
        <a:p>
          <a:endParaRPr lang="en-US"/>
        </a:p>
      </dgm:t>
    </dgm:pt>
    <dgm:pt modelId="{C530520E-6C6B-DD44-BBF0-900D578F537A}" type="pres">
      <dgm:prSet presAssocID="{FD169B90-4DF7-8B4D-93A3-E5126587BE02}" presName="horzTwo" presStyleCnt="0"/>
      <dgm:spPr/>
    </dgm:pt>
    <dgm:pt modelId="{17EF8DE0-EF9C-0A4F-80A1-C7C1F20CDD91}" type="pres">
      <dgm:prSet presAssocID="{B627D085-FEB7-6445-8132-FDF685E4722C}" presName="sibSpaceTwo" presStyleCnt="0"/>
      <dgm:spPr/>
    </dgm:pt>
    <dgm:pt modelId="{BCCFB673-E8E6-634C-B94B-9A417E812178}" type="pres">
      <dgm:prSet presAssocID="{BEBD0E94-6560-2D48-91C1-C4615988410D}" presName="vertTwo" presStyleCnt="0"/>
      <dgm:spPr/>
    </dgm:pt>
    <dgm:pt modelId="{8CD41BA5-6593-B64B-BAD0-14F6EF5B1716}" type="pres">
      <dgm:prSet presAssocID="{BEBD0E94-6560-2D48-91C1-C4615988410D}" presName="txTwo" presStyleLbl="node2" presStyleIdx="2" presStyleCnt="3">
        <dgm:presLayoutVars>
          <dgm:chPref val="3"/>
        </dgm:presLayoutVars>
      </dgm:prSet>
      <dgm:spPr/>
      <dgm:t>
        <a:bodyPr/>
        <a:lstStyle/>
        <a:p>
          <a:endParaRPr lang="en-US"/>
        </a:p>
      </dgm:t>
    </dgm:pt>
    <dgm:pt modelId="{C33DB795-20D6-4047-A7EA-B2D76A1E64B6}" type="pres">
      <dgm:prSet presAssocID="{BEBD0E94-6560-2D48-91C1-C4615988410D}" presName="horzTwo" presStyleCnt="0"/>
      <dgm:spPr/>
    </dgm:pt>
    <dgm:pt modelId="{667384E5-300C-404F-8283-5827635AFEF9}" type="pres">
      <dgm:prSet presAssocID="{C772B81F-F82B-2141-8DF4-F2325BDA2727}" presName="sibSpaceOne" presStyleCnt="0"/>
      <dgm:spPr/>
    </dgm:pt>
    <dgm:pt modelId="{850A12F9-7FE4-CB43-9DDE-11E6659FC644}" type="pres">
      <dgm:prSet presAssocID="{42B43493-64AB-8549-B19D-59F9AB9FA452}" presName="vertOne" presStyleCnt="0"/>
      <dgm:spPr/>
    </dgm:pt>
    <dgm:pt modelId="{A001104A-7944-B74C-97B7-164492D2A062}" type="pres">
      <dgm:prSet presAssocID="{42B43493-64AB-8549-B19D-59F9AB9FA452}" presName="txOne" presStyleLbl="node0" presStyleIdx="3" presStyleCnt="5">
        <dgm:presLayoutVars>
          <dgm:chPref val="3"/>
        </dgm:presLayoutVars>
      </dgm:prSet>
      <dgm:spPr/>
      <dgm:t>
        <a:bodyPr/>
        <a:lstStyle/>
        <a:p>
          <a:endParaRPr lang="en-US"/>
        </a:p>
      </dgm:t>
    </dgm:pt>
    <dgm:pt modelId="{52C42D78-81C9-A641-B821-0DBFB885E302}" type="pres">
      <dgm:prSet presAssocID="{42B43493-64AB-8549-B19D-59F9AB9FA452}" presName="horzOne" presStyleCnt="0"/>
      <dgm:spPr/>
    </dgm:pt>
    <dgm:pt modelId="{180E9970-9D4D-624D-8118-A3810C39EC75}" type="pres">
      <dgm:prSet presAssocID="{A3A0F8BD-9A25-BC41-A6EA-E6983D89A3C2}" presName="sibSpaceOne" presStyleCnt="0"/>
      <dgm:spPr/>
    </dgm:pt>
    <dgm:pt modelId="{884EC6A6-3F4C-7C4B-8826-356AF4E3C5F4}" type="pres">
      <dgm:prSet presAssocID="{D59E6B4C-26A6-F14D-B44B-4382981397B3}" presName="vertOne" presStyleCnt="0"/>
      <dgm:spPr/>
    </dgm:pt>
    <dgm:pt modelId="{8B5BB682-72D2-7D4B-BE10-32D287DBB106}" type="pres">
      <dgm:prSet presAssocID="{D59E6B4C-26A6-F14D-B44B-4382981397B3}" presName="txOne" presStyleLbl="node0" presStyleIdx="4" presStyleCnt="5">
        <dgm:presLayoutVars>
          <dgm:chPref val="3"/>
        </dgm:presLayoutVars>
      </dgm:prSet>
      <dgm:spPr/>
      <dgm:t>
        <a:bodyPr/>
        <a:lstStyle/>
        <a:p>
          <a:endParaRPr lang="en-US"/>
        </a:p>
      </dgm:t>
    </dgm:pt>
    <dgm:pt modelId="{BCDE4C97-CB97-C04C-AE4A-7B753DB75FA1}" type="pres">
      <dgm:prSet presAssocID="{D59E6B4C-26A6-F14D-B44B-4382981397B3}" presName="horzOne" presStyleCnt="0"/>
      <dgm:spPr/>
    </dgm:pt>
  </dgm:ptLst>
  <dgm:cxnLst>
    <dgm:cxn modelId="{F83F4A89-E1E7-824B-98D1-28BDA6E3BFE7}" type="presOf" srcId="{D59E6B4C-26A6-F14D-B44B-4382981397B3}" destId="{8B5BB682-72D2-7D4B-BE10-32D287DBB106}" srcOrd="0" destOrd="0" presId="urn:microsoft.com/office/officeart/2005/8/layout/hierarchy4"/>
    <dgm:cxn modelId="{698B6ECB-EABB-A64F-99A1-7A5E44CA10FC}" srcId="{2ECED815-91EC-F744-861D-7700EA30FC46}" destId="{BEBD0E94-6560-2D48-91C1-C4615988410D}" srcOrd="2" destOrd="0" parTransId="{8DB8D92E-E2AC-F84B-95FF-DB0AB4FC584F}" sibTransId="{A10436E4-BA1D-514B-A6D5-F25A982D3596}"/>
    <dgm:cxn modelId="{F457EFF1-532D-5F41-AA94-08FABD4E3E45}" type="presOf" srcId="{2ECED815-91EC-F744-861D-7700EA30FC46}" destId="{088B290E-50B8-9E44-92B4-79E5CD7C030F}" srcOrd="0" destOrd="0" presId="urn:microsoft.com/office/officeart/2005/8/layout/hierarchy4"/>
    <dgm:cxn modelId="{9A75BFCA-586C-7C4A-8B7E-C57D4926F81B}" type="presOf" srcId="{98C576C5-1EF4-AE4C-B3CA-63563053597E}" destId="{BE16161E-5951-3D4B-833A-85526FEB0ECE}" srcOrd="0" destOrd="0" presId="urn:microsoft.com/office/officeart/2005/8/layout/hierarchy4"/>
    <dgm:cxn modelId="{3B01A6B5-889E-C44F-BAC2-5F4C62CAF782}" type="presOf" srcId="{FD169B90-4DF7-8B4D-93A3-E5126587BE02}" destId="{CB3F8FF6-F79B-C04B-A7F5-1B64C900CB8A}" srcOrd="0" destOrd="0" presId="urn:microsoft.com/office/officeart/2005/8/layout/hierarchy4"/>
    <dgm:cxn modelId="{AA5F1772-AE8C-A947-859B-A4483101F630}" srcId="{871A30EB-9F1F-7B45-BB18-6458F48F718C}" destId="{83C4BB45-07D2-0841-B431-3FACAC8750BE}" srcOrd="0" destOrd="0" parTransId="{D2E9FFB9-F8B1-2946-A946-38122F3AB513}" sibTransId="{2C9BD1C5-7757-FF41-B4D6-51AC177DECF5}"/>
    <dgm:cxn modelId="{5C02D9C6-9C3D-6243-A5D1-9F5CF4230205}" srcId="{2ECED815-91EC-F744-861D-7700EA30FC46}" destId="{FD169B90-4DF7-8B4D-93A3-E5126587BE02}" srcOrd="1" destOrd="0" parTransId="{A74056E3-BD70-F842-AE60-017622F56190}" sibTransId="{B627D085-FEB7-6445-8132-FDF685E4722C}"/>
    <dgm:cxn modelId="{04C55B7E-0089-F046-A17C-3FC6393099B6}" srcId="{871A30EB-9F1F-7B45-BB18-6458F48F718C}" destId="{FCFFC4EF-F374-F24E-9EC9-B62E293F5CE2}" srcOrd="1" destOrd="0" parTransId="{439E522D-7FE5-3C44-8E10-FFCDA88DF890}" sibTransId="{C2A4B5C1-9CA0-8146-B5B4-22A7FB25EF46}"/>
    <dgm:cxn modelId="{93BD624C-7151-714B-8E9B-00FE637F9641}" srcId="{871A30EB-9F1F-7B45-BB18-6458F48F718C}" destId="{2ECED815-91EC-F744-861D-7700EA30FC46}" srcOrd="2" destOrd="0" parTransId="{B58EBA40-A167-E747-94CE-F86DB045DE88}" sibTransId="{C772B81F-F82B-2141-8DF4-F2325BDA2727}"/>
    <dgm:cxn modelId="{BE53E1FD-55C0-F741-ADF6-4D24AFC7F7FC}" srcId="{871A30EB-9F1F-7B45-BB18-6458F48F718C}" destId="{D59E6B4C-26A6-F14D-B44B-4382981397B3}" srcOrd="4" destOrd="0" parTransId="{94A13273-D625-A14B-A891-62618428BA24}" sibTransId="{AC0E0836-BD2A-194B-B416-987CC8D2A191}"/>
    <dgm:cxn modelId="{CE1DD552-CABB-3A4F-B9E2-BE48EF0C0192}" srcId="{2ECED815-91EC-F744-861D-7700EA30FC46}" destId="{98C576C5-1EF4-AE4C-B3CA-63563053597E}" srcOrd="0" destOrd="0" parTransId="{802FC70A-B025-5847-AAB6-514132B8E250}" sibTransId="{C0F4BD82-2BEC-F84B-ADB8-1075372D0146}"/>
    <dgm:cxn modelId="{C7A9459F-A5A0-A14D-B1C5-B59FBAABD978}" type="presOf" srcId="{FCFFC4EF-F374-F24E-9EC9-B62E293F5CE2}" destId="{12A67442-4D3C-584E-A116-83869BF89D48}" srcOrd="0" destOrd="0" presId="urn:microsoft.com/office/officeart/2005/8/layout/hierarchy4"/>
    <dgm:cxn modelId="{F77655FC-D757-4546-8505-E1AEE305AE8D}" type="presOf" srcId="{42B43493-64AB-8549-B19D-59F9AB9FA452}" destId="{A001104A-7944-B74C-97B7-164492D2A062}" srcOrd="0" destOrd="0" presId="urn:microsoft.com/office/officeart/2005/8/layout/hierarchy4"/>
    <dgm:cxn modelId="{70DEF1D3-CF20-2740-9EB4-3508871B1DEE}" type="presOf" srcId="{83C4BB45-07D2-0841-B431-3FACAC8750BE}" destId="{FC094CA6-C019-FB42-B949-4D5923597A19}" srcOrd="0" destOrd="0" presId="urn:microsoft.com/office/officeart/2005/8/layout/hierarchy4"/>
    <dgm:cxn modelId="{96A41B07-E2F0-BB45-B3D9-7704E07954BE}" type="presOf" srcId="{BEBD0E94-6560-2D48-91C1-C4615988410D}" destId="{8CD41BA5-6593-B64B-BAD0-14F6EF5B1716}" srcOrd="0" destOrd="0" presId="urn:microsoft.com/office/officeart/2005/8/layout/hierarchy4"/>
    <dgm:cxn modelId="{9702D7A3-B116-CA4D-8A49-1F95AFC3389A}" type="presOf" srcId="{871A30EB-9F1F-7B45-BB18-6458F48F718C}" destId="{246F2D7A-46C2-5545-8F8B-2DA6F39CAC7D}" srcOrd="0" destOrd="0" presId="urn:microsoft.com/office/officeart/2005/8/layout/hierarchy4"/>
    <dgm:cxn modelId="{3F74C5A3-6108-3343-B47C-A0F3D0C4497B}" srcId="{871A30EB-9F1F-7B45-BB18-6458F48F718C}" destId="{42B43493-64AB-8549-B19D-59F9AB9FA452}" srcOrd="3" destOrd="0" parTransId="{2D8C7416-BD8F-4C48-BC14-7FC739BE5C48}" sibTransId="{A3A0F8BD-9A25-BC41-A6EA-E6983D89A3C2}"/>
    <dgm:cxn modelId="{758102C6-9151-7942-95AD-42826347E100}" type="presParOf" srcId="{246F2D7A-46C2-5545-8F8B-2DA6F39CAC7D}" destId="{69CA2040-3250-8747-B238-6F1B61BE372D}" srcOrd="0" destOrd="0" presId="urn:microsoft.com/office/officeart/2005/8/layout/hierarchy4"/>
    <dgm:cxn modelId="{A4D3C174-68E5-C04B-A81B-16B23EC6AEB7}" type="presParOf" srcId="{69CA2040-3250-8747-B238-6F1B61BE372D}" destId="{FC094CA6-C019-FB42-B949-4D5923597A19}" srcOrd="0" destOrd="0" presId="urn:microsoft.com/office/officeart/2005/8/layout/hierarchy4"/>
    <dgm:cxn modelId="{674136EE-D50C-E840-80D4-3D1668100EE0}" type="presParOf" srcId="{69CA2040-3250-8747-B238-6F1B61BE372D}" destId="{15426991-58C1-2943-BEF4-65D6621341D3}" srcOrd="1" destOrd="0" presId="urn:microsoft.com/office/officeart/2005/8/layout/hierarchy4"/>
    <dgm:cxn modelId="{BAE4CD0C-040D-FC4D-9683-52414EE2CB76}" type="presParOf" srcId="{246F2D7A-46C2-5545-8F8B-2DA6F39CAC7D}" destId="{07FCF14A-4697-3D4D-BEBB-76B823B0C601}" srcOrd="1" destOrd="0" presId="urn:microsoft.com/office/officeart/2005/8/layout/hierarchy4"/>
    <dgm:cxn modelId="{A8FE778F-E5DD-0E41-9FF2-44A2F5A6A639}" type="presParOf" srcId="{246F2D7A-46C2-5545-8F8B-2DA6F39CAC7D}" destId="{883F2807-7ECD-564E-BBFE-43AB1A434BC7}" srcOrd="2" destOrd="0" presId="urn:microsoft.com/office/officeart/2005/8/layout/hierarchy4"/>
    <dgm:cxn modelId="{E63D0EEC-23B3-4540-92D7-9E6E1B97184A}" type="presParOf" srcId="{883F2807-7ECD-564E-BBFE-43AB1A434BC7}" destId="{12A67442-4D3C-584E-A116-83869BF89D48}" srcOrd="0" destOrd="0" presId="urn:microsoft.com/office/officeart/2005/8/layout/hierarchy4"/>
    <dgm:cxn modelId="{15E57FCB-27F7-7745-B486-32F2AF667BC4}" type="presParOf" srcId="{883F2807-7ECD-564E-BBFE-43AB1A434BC7}" destId="{6222875D-D6EA-474F-A78B-5444CF52C0ED}" srcOrd="1" destOrd="0" presId="urn:microsoft.com/office/officeart/2005/8/layout/hierarchy4"/>
    <dgm:cxn modelId="{FD46FC98-920C-0E44-BF51-0F821E87D991}" type="presParOf" srcId="{246F2D7A-46C2-5545-8F8B-2DA6F39CAC7D}" destId="{C3E5FFC2-5BA3-764F-952D-6F1ECCB4152D}" srcOrd="3" destOrd="0" presId="urn:microsoft.com/office/officeart/2005/8/layout/hierarchy4"/>
    <dgm:cxn modelId="{451E526C-9D72-C444-BF05-72367720880F}" type="presParOf" srcId="{246F2D7A-46C2-5545-8F8B-2DA6F39CAC7D}" destId="{EAD1E77E-841E-CF42-A526-B1416ED98072}" srcOrd="4" destOrd="0" presId="urn:microsoft.com/office/officeart/2005/8/layout/hierarchy4"/>
    <dgm:cxn modelId="{9AE0764F-FC11-4746-9DE7-258920691F42}" type="presParOf" srcId="{EAD1E77E-841E-CF42-A526-B1416ED98072}" destId="{088B290E-50B8-9E44-92B4-79E5CD7C030F}" srcOrd="0" destOrd="0" presId="urn:microsoft.com/office/officeart/2005/8/layout/hierarchy4"/>
    <dgm:cxn modelId="{0E4534C3-CA6D-764E-930A-B79066BD606B}" type="presParOf" srcId="{EAD1E77E-841E-CF42-A526-B1416ED98072}" destId="{0E799469-0961-1E4D-84F4-BF130388FF90}" srcOrd="1" destOrd="0" presId="urn:microsoft.com/office/officeart/2005/8/layout/hierarchy4"/>
    <dgm:cxn modelId="{71305CF8-BA81-0649-B008-CF29C2B0DE58}" type="presParOf" srcId="{EAD1E77E-841E-CF42-A526-B1416ED98072}" destId="{E5C4B0BF-7B6B-B347-8273-3929A9AF95FC}" srcOrd="2" destOrd="0" presId="urn:microsoft.com/office/officeart/2005/8/layout/hierarchy4"/>
    <dgm:cxn modelId="{D3C9697F-D62E-AE42-A51D-BB6D7C340C0A}" type="presParOf" srcId="{E5C4B0BF-7B6B-B347-8273-3929A9AF95FC}" destId="{84EB7E18-F472-8E4A-BB44-70935590CBA1}" srcOrd="0" destOrd="0" presId="urn:microsoft.com/office/officeart/2005/8/layout/hierarchy4"/>
    <dgm:cxn modelId="{9A3E8D90-B02E-2248-A300-6D7A6014D282}" type="presParOf" srcId="{84EB7E18-F472-8E4A-BB44-70935590CBA1}" destId="{BE16161E-5951-3D4B-833A-85526FEB0ECE}" srcOrd="0" destOrd="0" presId="urn:microsoft.com/office/officeart/2005/8/layout/hierarchy4"/>
    <dgm:cxn modelId="{FDFCFBDA-CC5E-E049-879A-1761B2975105}" type="presParOf" srcId="{84EB7E18-F472-8E4A-BB44-70935590CBA1}" destId="{7A63132B-CB17-D148-A400-8642F00D9A73}" srcOrd="1" destOrd="0" presId="urn:microsoft.com/office/officeart/2005/8/layout/hierarchy4"/>
    <dgm:cxn modelId="{B2A7B312-3DCA-7A43-AB59-2B77827714D6}" type="presParOf" srcId="{E5C4B0BF-7B6B-B347-8273-3929A9AF95FC}" destId="{44A0B72D-7AA6-3141-ABB4-333F75CCB7F7}" srcOrd="1" destOrd="0" presId="urn:microsoft.com/office/officeart/2005/8/layout/hierarchy4"/>
    <dgm:cxn modelId="{A97980FA-135F-774E-9AB6-6B90C41780F0}" type="presParOf" srcId="{E5C4B0BF-7B6B-B347-8273-3929A9AF95FC}" destId="{B87D9F54-33F1-4448-95BB-E00DE099B619}" srcOrd="2" destOrd="0" presId="urn:microsoft.com/office/officeart/2005/8/layout/hierarchy4"/>
    <dgm:cxn modelId="{755A319B-71EA-734A-9DBF-C8E3EED80741}" type="presParOf" srcId="{B87D9F54-33F1-4448-95BB-E00DE099B619}" destId="{CB3F8FF6-F79B-C04B-A7F5-1B64C900CB8A}" srcOrd="0" destOrd="0" presId="urn:microsoft.com/office/officeart/2005/8/layout/hierarchy4"/>
    <dgm:cxn modelId="{5369F4B1-C5A0-4543-8EB4-04DBDF22B012}" type="presParOf" srcId="{B87D9F54-33F1-4448-95BB-E00DE099B619}" destId="{C530520E-6C6B-DD44-BBF0-900D578F537A}" srcOrd="1" destOrd="0" presId="urn:microsoft.com/office/officeart/2005/8/layout/hierarchy4"/>
    <dgm:cxn modelId="{DDAD09E5-BA29-DA4E-BD7F-DA19F5600CEB}" type="presParOf" srcId="{E5C4B0BF-7B6B-B347-8273-3929A9AF95FC}" destId="{17EF8DE0-EF9C-0A4F-80A1-C7C1F20CDD91}" srcOrd="3" destOrd="0" presId="urn:microsoft.com/office/officeart/2005/8/layout/hierarchy4"/>
    <dgm:cxn modelId="{A6F10F45-BDCB-0D44-8025-1B557F3F80EE}" type="presParOf" srcId="{E5C4B0BF-7B6B-B347-8273-3929A9AF95FC}" destId="{BCCFB673-E8E6-634C-B94B-9A417E812178}" srcOrd="4" destOrd="0" presId="urn:microsoft.com/office/officeart/2005/8/layout/hierarchy4"/>
    <dgm:cxn modelId="{587C84F1-F54E-DC46-8177-B8FAC0E14C66}" type="presParOf" srcId="{BCCFB673-E8E6-634C-B94B-9A417E812178}" destId="{8CD41BA5-6593-B64B-BAD0-14F6EF5B1716}" srcOrd="0" destOrd="0" presId="urn:microsoft.com/office/officeart/2005/8/layout/hierarchy4"/>
    <dgm:cxn modelId="{F094BEB0-2B8F-C146-B9E8-1F9A2656EED0}" type="presParOf" srcId="{BCCFB673-E8E6-634C-B94B-9A417E812178}" destId="{C33DB795-20D6-4047-A7EA-B2D76A1E64B6}" srcOrd="1" destOrd="0" presId="urn:microsoft.com/office/officeart/2005/8/layout/hierarchy4"/>
    <dgm:cxn modelId="{E227B0E7-773F-C342-8712-63CC8690C7EF}" type="presParOf" srcId="{246F2D7A-46C2-5545-8F8B-2DA6F39CAC7D}" destId="{667384E5-300C-404F-8283-5827635AFEF9}" srcOrd="5" destOrd="0" presId="urn:microsoft.com/office/officeart/2005/8/layout/hierarchy4"/>
    <dgm:cxn modelId="{60BB2B6C-B9DB-044D-B390-FA6CCD1D3971}" type="presParOf" srcId="{246F2D7A-46C2-5545-8F8B-2DA6F39CAC7D}" destId="{850A12F9-7FE4-CB43-9DDE-11E6659FC644}" srcOrd="6" destOrd="0" presId="urn:microsoft.com/office/officeart/2005/8/layout/hierarchy4"/>
    <dgm:cxn modelId="{4E6ACF62-BA6E-994C-BFF6-F6C55C08A21B}" type="presParOf" srcId="{850A12F9-7FE4-CB43-9DDE-11E6659FC644}" destId="{A001104A-7944-B74C-97B7-164492D2A062}" srcOrd="0" destOrd="0" presId="urn:microsoft.com/office/officeart/2005/8/layout/hierarchy4"/>
    <dgm:cxn modelId="{22713E2E-13D6-E94A-B269-80EAFBEE6C65}" type="presParOf" srcId="{850A12F9-7FE4-CB43-9DDE-11E6659FC644}" destId="{52C42D78-81C9-A641-B821-0DBFB885E302}" srcOrd="1" destOrd="0" presId="urn:microsoft.com/office/officeart/2005/8/layout/hierarchy4"/>
    <dgm:cxn modelId="{0A9605FE-6C38-7D4F-B40F-555392CDD415}" type="presParOf" srcId="{246F2D7A-46C2-5545-8F8B-2DA6F39CAC7D}" destId="{180E9970-9D4D-624D-8118-A3810C39EC75}" srcOrd="7" destOrd="0" presId="urn:microsoft.com/office/officeart/2005/8/layout/hierarchy4"/>
    <dgm:cxn modelId="{A5A92B54-48C8-4E40-9522-209D4D401B19}" type="presParOf" srcId="{246F2D7A-46C2-5545-8F8B-2DA6F39CAC7D}" destId="{884EC6A6-3F4C-7C4B-8826-356AF4E3C5F4}" srcOrd="8" destOrd="0" presId="urn:microsoft.com/office/officeart/2005/8/layout/hierarchy4"/>
    <dgm:cxn modelId="{171E53C9-6203-7A40-86C8-EC9AE518E213}" type="presParOf" srcId="{884EC6A6-3F4C-7C4B-8826-356AF4E3C5F4}" destId="{8B5BB682-72D2-7D4B-BE10-32D287DBB106}" srcOrd="0" destOrd="0" presId="urn:microsoft.com/office/officeart/2005/8/layout/hierarchy4"/>
    <dgm:cxn modelId="{A6BEBF78-48E9-D740-8907-BD36E6CD13CF}" type="presParOf" srcId="{884EC6A6-3F4C-7C4B-8826-356AF4E3C5F4}" destId="{BCDE4C97-CB97-C04C-AE4A-7B753DB75FA1}" srcOrd="1" destOrd="0" presId="urn:microsoft.com/office/officeart/2005/8/layout/hierarchy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0CDD27-8B55-8D4F-B695-8967467F1AC3}" type="doc">
      <dgm:prSet loTypeId="urn:microsoft.com/office/officeart/2005/8/layout/process1" loCatId="" qsTypeId="urn:microsoft.com/office/officeart/2005/8/quickstyle/simple1" qsCatId="simple" csTypeId="urn:microsoft.com/office/officeart/2005/8/colors/accent1_2" csCatId="accent1" phldr="1"/>
      <dgm:spPr/>
    </dgm:pt>
    <dgm:pt modelId="{2927C76E-F4A3-8C40-A90E-58461C8722FC}">
      <dgm:prSet custT="1"/>
      <dgm:spPr/>
      <dgm:t>
        <a:bodyPr/>
        <a:lstStyle/>
        <a:p>
          <a:r>
            <a:rPr lang="en-US" sz="900"/>
            <a:t>Determine regional transmission assets and value for power flows</a:t>
          </a:r>
        </a:p>
      </dgm:t>
    </dgm:pt>
    <dgm:pt modelId="{75E9E6A1-0E9A-C94B-863B-5532462E6B65}" type="parTrans" cxnId="{1460BF59-9F1E-6742-A81A-C7579A9D34D2}">
      <dgm:prSet/>
      <dgm:spPr/>
      <dgm:t>
        <a:bodyPr/>
        <a:lstStyle/>
        <a:p>
          <a:endParaRPr lang="en-US"/>
        </a:p>
      </dgm:t>
    </dgm:pt>
    <dgm:pt modelId="{5D1D08CC-8186-E447-8FEE-71D0455E5533}" type="sibTrans" cxnId="{1460BF59-9F1E-6742-A81A-C7579A9D34D2}">
      <dgm:prSet/>
      <dgm:spPr/>
      <dgm:t>
        <a:bodyPr/>
        <a:lstStyle/>
        <a:p>
          <a:endParaRPr lang="en-US"/>
        </a:p>
      </dgm:t>
    </dgm:pt>
    <dgm:pt modelId="{7A1D939B-0243-514E-AE8A-F8CF72C04691}">
      <dgm:prSet custT="1"/>
      <dgm:spPr/>
      <dgm:t>
        <a:bodyPr/>
        <a:lstStyle/>
        <a:p>
          <a:r>
            <a:rPr lang="en-US" sz="900"/>
            <a:t>Calculate annual revenue requirement for each asset</a:t>
          </a:r>
        </a:p>
      </dgm:t>
    </dgm:pt>
    <dgm:pt modelId="{27632358-D244-0247-91EF-ED8C99665FAA}" type="parTrans" cxnId="{C16B3A02-14DE-EF49-AF28-5DB78F0AF5F9}">
      <dgm:prSet/>
      <dgm:spPr/>
      <dgm:t>
        <a:bodyPr/>
        <a:lstStyle/>
        <a:p>
          <a:endParaRPr lang="en-US"/>
        </a:p>
      </dgm:t>
    </dgm:pt>
    <dgm:pt modelId="{BCA0BF78-7D4E-1B4C-BBAB-DC9ACD69A896}" type="sibTrans" cxnId="{C16B3A02-14DE-EF49-AF28-5DB78F0AF5F9}">
      <dgm:prSet/>
      <dgm:spPr/>
      <dgm:t>
        <a:bodyPr/>
        <a:lstStyle/>
        <a:p>
          <a:endParaRPr lang="en-US"/>
        </a:p>
      </dgm:t>
    </dgm:pt>
    <dgm:pt modelId="{DAF56138-0977-CC47-9C47-90D5810F6B59}">
      <dgm:prSet custT="1"/>
      <dgm:spPr/>
      <dgm:t>
        <a:bodyPr/>
        <a:lstStyle/>
        <a:p>
          <a:r>
            <a:rPr lang="en-US" sz="900"/>
            <a:t>Calculate use of transmission system and losses for each bilateral trade</a:t>
          </a:r>
        </a:p>
      </dgm:t>
    </dgm:pt>
    <dgm:pt modelId="{1DEAA182-7D0D-514E-8CF5-63811375BC04}" type="parTrans" cxnId="{B3B4D094-306C-3A47-B2D3-3521B76BA8A9}">
      <dgm:prSet/>
      <dgm:spPr/>
      <dgm:t>
        <a:bodyPr/>
        <a:lstStyle/>
        <a:p>
          <a:endParaRPr lang="en-US"/>
        </a:p>
      </dgm:t>
    </dgm:pt>
    <dgm:pt modelId="{5DB8B30F-36BF-0A40-AC99-A6E76AB1DA0A}" type="sibTrans" cxnId="{B3B4D094-306C-3A47-B2D3-3521B76BA8A9}">
      <dgm:prSet/>
      <dgm:spPr/>
      <dgm:t>
        <a:bodyPr/>
        <a:lstStyle/>
        <a:p>
          <a:endParaRPr lang="en-US"/>
        </a:p>
      </dgm:t>
    </dgm:pt>
    <dgm:pt modelId="{6B9F9B00-F1FB-0A41-8CCF-AA56AEA8A118}">
      <dgm:prSet custT="1"/>
      <dgm:spPr/>
      <dgm:t>
        <a:bodyPr/>
        <a:lstStyle/>
        <a:p>
          <a:r>
            <a:rPr lang="en-US" sz="900"/>
            <a:t>Calculate transmission operator revenue requirements for all bilateral trades</a:t>
          </a:r>
        </a:p>
      </dgm:t>
    </dgm:pt>
    <dgm:pt modelId="{0596E46F-17EB-4F4F-B510-A922E8F7047B}" type="parTrans" cxnId="{B451CBBE-FE05-F345-8586-EAC5C7005069}">
      <dgm:prSet/>
      <dgm:spPr/>
      <dgm:t>
        <a:bodyPr/>
        <a:lstStyle/>
        <a:p>
          <a:endParaRPr lang="en-US"/>
        </a:p>
      </dgm:t>
    </dgm:pt>
    <dgm:pt modelId="{A9677D65-2E5A-B844-8BE7-821EAFB4833A}" type="sibTrans" cxnId="{B451CBBE-FE05-F345-8586-EAC5C7005069}">
      <dgm:prSet/>
      <dgm:spPr/>
      <dgm:t>
        <a:bodyPr/>
        <a:lstStyle/>
        <a:p>
          <a:endParaRPr lang="en-US"/>
        </a:p>
      </dgm:t>
    </dgm:pt>
    <dgm:pt modelId="{431B547C-E3A7-2148-9B59-A3C281C18432}">
      <dgm:prSet custT="1"/>
      <dgm:spPr/>
      <dgm:t>
        <a:bodyPr/>
        <a:lstStyle/>
        <a:p>
          <a:r>
            <a:rPr lang="en-US" sz="900"/>
            <a:t>Calculate purchaser charges to each transmission operator in the flow path</a:t>
          </a:r>
        </a:p>
      </dgm:t>
    </dgm:pt>
    <dgm:pt modelId="{C1ACA004-17DF-F540-BB6A-D53E7B8D9AD9}" type="parTrans" cxnId="{0A6FA133-2C1B-6748-8B31-DBE6E12304D9}">
      <dgm:prSet/>
      <dgm:spPr/>
      <dgm:t>
        <a:bodyPr/>
        <a:lstStyle/>
        <a:p>
          <a:endParaRPr lang="en-US"/>
        </a:p>
      </dgm:t>
    </dgm:pt>
    <dgm:pt modelId="{7D2E1825-8048-2C4B-816F-ECE07DA69AE8}" type="sibTrans" cxnId="{0A6FA133-2C1B-6748-8B31-DBE6E12304D9}">
      <dgm:prSet/>
      <dgm:spPr/>
      <dgm:t>
        <a:bodyPr/>
        <a:lstStyle/>
        <a:p>
          <a:endParaRPr lang="en-US"/>
        </a:p>
      </dgm:t>
    </dgm:pt>
    <dgm:pt modelId="{A2B6B975-E3ED-8148-AAC4-D55D1BB88495}" type="pres">
      <dgm:prSet presAssocID="{EB0CDD27-8B55-8D4F-B695-8967467F1AC3}" presName="Name0" presStyleCnt="0">
        <dgm:presLayoutVars>
          <dgm:dir/>
          <dgm:resizeHandles val="exact"/>
        </dgm:presLayoutVars>
      </dgm:prSet>
      <dgm:spPr/>
    </dgm:pt>
    <dgm:pt modelId="{292F4787-C431-034B-A361-B24B6977B38A}" type="pres">
      <dgm:prSet presAssocID="{2927C76E-F4A3-8C40-A90E-58461C8722FC}" presName="node" presStyleLbl="node1" presStyleIdx="0" presStyleCnt="5">
        <dgm:presLayoutVars>
          <dgm:bulletEnabled val="1"/>
        </dgm:presLayoutVars>
      </dgm:prSet>
      <dgm:spPr/>
      <dgm:t>
        <a:bodyPr/>
        <a:lstStyle/>
        <a:p>
          <a:endParaRPr lang="en-US"/>
        </a:p>
      </dgm:t>
    </dgm:pt>
    <dgm:pt modelId="{6FA54271-F3E1-A146-9AF7-A5C2CDE75D76}" type="pres">
      <dgm:prSet presAssocID="{5D1D08CC-8186-E447-8FEE-71D0455E5533}" presName="sibTrans" presStyleLbl="sibTrans2D1" presStyleIdx="0" presStyleCnt="4"/>
      <dgm:spPr/>
      <dgm:t>
        <a:bodyPr/>
        <a:lstStyle/>
        <a:p>
          <a:endParaRPr lang="en-US"/>
        </a:p>
      </dgm:t>
    </dgm:pt>
    <dgm:pt modelId="{0518282C-24FF-CA46-9EE6-1C1BEF21DF6B}" type="pres">
      <dgm:prSet presAssocID="{5D1D08CC-8186-E447-8FEE-71D0455E5533}" presName="connectorText" presStyleLbl="sibTrans2D1" presStyleIdx="0" presStyleCnt="4"/>
      <dgm:spPr/>
      <dgm:t>
        <a:bodyPr/>
        <a:lstStyle/>
        <a:p>
          <a:endParaRPr lang="en-US"/>
        </a:p>
      </dgm:t>
    </dgm:pt>
    <dgm:pt modelId="{C71ED728-AE48-E84F-A11D-247CF694737F}" type="pres">
      <dgm:prSet presAssocID="{7A1D939B-0243-514E-AE8A-F8CF72C04691}" presName="node" presStyleLbl="node1" presStyleIdx="1" presStyleCnt="5">
        <dgm:presLayoutVars>
          <dgm:bulletEnabled val="1"/>
        </dgm:presLayoutVars>
      </dgm:prSet>
      <dgm:spPr/>
      <dgm:t>
        <a:bodyPr/>
        <a:lstStyle/>
        <a:p>
          <a:endParaRPr lang="en-US"/>
        </a:p>
      </dgm:t>
    </dgm:pt>
    <dgm:pt modelId="{28279CC3-D223-B140-98FC-5D87F084F5E2}" type="pres">
      <dgm:prSet presAssocID="{BCA0BF78-7D4E-1B4C-BBAB-DC9ACD69A896}" presName="sibTrans" presStyleLbl="sibTrans2D1" presStyleIdx="1" presStyleCnt="4"/>
      <dgm:spPr/>
      <dgm:t>
        <a:bodyPr/>
        <a:lstStyle/>
        <a:p>
          <a:endParaRPr lang="en-US"/>
        </a:p>
      </dgm:t>
    </dgm:pt>
    <dgm:pt modelId="{AA7BE0FF-7973-334F-A24F-4BA44E6182C8}" type="pres">
      <dgm:prSet presAssocID="{BCA0BF78-7D4E-1B4C-BBAB-DC9ACD69A896}" presName="connectorText" presStyleLbl="sibTrans2D1" presStyleIdx="1" presStyleCnt="4"/>
      <dgm:spPr/>
      <dgm:t>
        <a:bodyPr/>
        <a:lstStyle/>
        <a:p>
          <a:endParaRPr lang="en-US"/>
        </a:p>
      </dgm:t>
    </dgm:pt>
    <dgm:pt modelId="{A3EFCCD2-236F-0043-A7D9-6C8DC5CD8DC8}" type="pres">
      <dgm:prSet presAssocID="{DAF56138-0977-CC47-9C47-90D5810F6B59}" presName="node" presStyleLbl="node1" presStyleIdx="2" presStyleCnt="5">
        <dgm:presLayoutVars>
          <dgm:bulletEnabled val="1"/>
        </dgm:presLayoutVars>
      </dgm:prSet>
      <dgm:spPr/>
      <dgm:t>
        <a:bodyPr/>
        <a:lstStyle/>
        <a:p>
          <a:endParaRPr lang="en-US"/>
        </a:p>
      </dgm:t>
    </dgm:pt>
    <dgm:pt modelId="{50B04355-5BA3-7F41-B104-756BDA7ACABF}" type="pres">
      <dgm:prSet presAssocID="{5DB8B30F-36BF-0A40-AC99-A6E76AB1DA0A}" presName="sibTrans" presStyleLbl="sibTrans2D1" presStyleIdx="2" presStyleCnt="4"/>
      <dgm:spPr/>
      <dgm:t>
        <a:bodyPr/>
        <a:lstStyle/>
        <a:p>
          <a:endParaRPr lang="en-US"/>
        </a:p>
      </dgm:t>
    </dgm:pt>
    <dgm:pt modelId="{7E20BBCF-EB18-B040-BB37-46F5A890DE05}" type="pres">
      <dgm:prSet presAssocID="{5DB8B30F-36BF-0A40-AC99-A6E76AB1DA0A}" presName="connectorText" presStyleLbl="sibTrans2D1" presStyleIdx="2" presStyleCnt="4"/>
      <dgm:spPr/>
      <dgm:t>
        <a:bodyPr/>
        <a:lstStyle/>
        <a:p>
          <a:endParaRPr lang="en-US"/>
        </a:p>
      </dgm:t>
    </dgm:pt>
    <dgm:pt modelId="{F1F62D18-5678-334F-97F9-3A7A403F0627}" type="pres">
      <dgm:prSet presAssocID="{6B9F9B00-F1FB-0A41-8CCF-AA56AEA8A118}" presName="node" presStyleLbl="node1" presStyleIdx="3" presStyleCnt="5">
        <dgm:presLayoutVars>
          <dgm:bulletEnabled val="1"/>
        </dgm:presLayoutVars>
      </dgm:prSet>
      <dgm:spPr/>
      <dgm:t>
        <a:bodyPr/>
        <a:lstStyle/>
        <a:p>
          <a:endParaRPr lang="en-US"/>
        </a:p>
      </dgm:t>
    </dgm:pt>
    <dgm:pt modelId="{E509672F-C916-8046-A716-7DB5DB13CD29}" type="pres">
      <dgm:prSet presAssocID="{A9677D65-2E5A-B844-8BE7-821EAFB4833A}" presName="sibTrans" presStyleLbl="sibTrans2D1" presStyleIdx="3" presStyleCnt="4"/>
      <dgm:spPr/>
      <dgm:t>
        <a:bodyPr/>
        <a:lstStyle/>
        <a:p>
          <a:endParaRPr lang="en-US"/>
        </a:p>
      </dgm:t>
    </dgm:pt>
    <dgm:pt modelId="{B2B8D025-FC27-FF48-8C1C-B7CA02B9A28A}" type="pres">
      <dgm:prSet presAssocID="{A9677D65-2E5A-B844-8BE7-821EAFB4833A}" presName="connectorText" presStyleLbl="sibTrans2D1" presStyleIdx="3" presStyleCnt="4"/>
      <dgm:spPr/>
      <dgm:t>
        <a:bodyPr/>
        <a:lstStyle/>
        <a:p>
          <a:endParaRPr lang="en-US"/>
        </a:p>
      </dgm:t>
    </dgm:pt>
    <dgm:pt modelId="{4B70F2C3-2935-2549-B199-C16AB7F5BFA8}" type="pres">
      <dgm:prSet presAssocID="{431B547C-E3A7-2148-9B59-A3C281C18432}" presName="node" presStyleLbl="node1" presStyleIdx="4" presStyleCnt="5">
        <dgm:presLayoutVars>
          <dgm:bulletEnabled val="1"/>
        </dgm:presLayoutVars>
      </dgm:prSet>
      <dgm:spPr/>
      <dgm:t>
        <a:bodyPr/>
        <a:lstStyle/>
        <a:p>
          <a:endParaRPr lang="en-US"/>
        </a:p>
      </dgm:t>
    </dgm:pt>
  </dgm:ptLst>
  <dgm:cxnLst>
    <dgm:cxn modelId="{B451CBBE-FE05-F345-8586-EAC5C7005069}" srcId="{EB0CDD27-8B55-8D4F-B695-8967467F1AC3}" destId="{6B9F9B00-F1FB-0A41-8CCF-AA56AEA8A118}" srcOrd="3" destOrd="0" parTransId="{0596E46F-17EB-4F4F-B510-A922E8F7047B}" sibTransId="{A9677D65-2E5A-B844-8BE7-821EAFB4833A}"/>
    <dgm:cxn modelId="{1E46AF66-4852-514E-90DB-D8076B2F7E9C}" type="presOf" srcId="{6B9F9B00-F1FB-0A41-8CCF-AA56AEA8A118}" destId="{F1F62D18-5678-334F-97F9-3A7A403F0627}" srcOrd="0" destOrd="0" presId="urn:microsoft.com/office/officeart/2005/8/layout/process1"/>
    <dgm:cxn modelId="{0A6FA133-2C1B-6748-8B31-DBE6E12304D9}" srcId="{EB0CDD27-8B55-8D4F-B695-8967467F1AC3}" destId="{431B547C-E3A7-2148-9B59-A3C281C18432}" srcOrd="4" destOrd="0" parTransId="{C1ACA004-17DF-F540-BB6A-D53E7B8D9AD9}" sibTransId="{7D2E1825-8048-2C4B-816F-ECE07DA69AE8}"/>
    <dgm:cxn modelId="{87D148DF-22AB-F245-9853-D64DBCFF0F52}" type="presOf" srcId="{431B547C-E3A7-2148-9B59-A3C281C18432}" destId="{4B70F2C3-2935-2549-B199-C16AB7F5BFA8}" srcOrd="0" destOrd="0" presId="urn:microsoft.com/office/officeart/2005/8/layout/process1"/>
    <dgm:cxn modelId="{526E8A9D-6CDA-1A49-91F7-BEAD4E259DA4}" type="presOf" srcId="{DAF56138-0977-CC47-9C47-90D5810F6B59}" destId="{A3EFCCD2-236F-0043-A7D9-6C8DC5CD8DC8}" srcOrd="0" destOrd="0" presId="urn:microsoft.com/office/officeart/2005/8/layout/process1"/>
    <dgm:cxn modelId="{B3B4D094-306C-3A47-B2D3-3521B76BA8A9}" srcId="{EB0CDD27-8B55-8D4F-B695-8967467F1AC3}" destId="{DAF56138-0977-CC47-9C47-90D5810F6B59}" srcOrd="2" destOrd="0" parTransId="{1DEAA182-7D0D-514E-8CF5-63811375BC04}" sibTransId="{5DB8B30F-36BF-0A40-AC99-A6E76AB1DA0A}"/>
    <dgm:cxn modelId="{590ED109-16F2-FD44-B899-CAA37AFD1E45}" type="presOf" srcId="{EB0CDD27-8B55-8D4F-B695-8967467F1AC3}" destId="{A2B6B975-E3ED-8148-AAC4-D55D1BB88495}" srcOrd="0" destOrd="0" presId="urn:microsoft.com/office/officeart/2005/8/layout/process1"/>
    <dgm:cxn modelId="{BD2D8466-BFB8-534D-AF9B-EA77259FEF4D}" type="presOf" srcId="{5D1D08CC-8186-E447-8FEE-71D0455E5533}" destId="{0518282C-24FF-CA46-9EE6-1C1BEF21DF6B}" srcOrd="1" destOrd="0" presId="urn:microsoft.com/office/officeart/2005/8/layout/process1"/>
    <dgm:cxn modelId="{EBFCC77A-DA8A-8E49-97EB-5E89A18BC852}" type="presOf" srcId="{BCA0BF78-7D4E-1B4C-BBAB-DC9ACD69A896}" destId="{AA7BE0FF-7973-334F-A24F-4BA44E6182C8}" srcOrd="1" destOrd="0" presId="urn:microsoft.com/office/officeart/2005/8/layout/process1"/>
    <dgm:cxn modelId="{C16B3A02-14DE-EF49-AF28-5DB78F0AF5F9}" srcId="{EB0CDD27-8B55-8D4F-B695-8967467F1AC3}" destId="{7A1D939B-0243-514E-AE8A-F8CF72C04691}" srcOrd="1" destOrd="0" parTransId="{27632358-D244-0247-91EF-ED8C99665FAA}" sibTransId="{BCA0BF78-7D4E-1B4C-BBAB-DC9ACD69A896}"/>
    <dgm:cxn modelId="{1460BF59-9F1E-6742-A81A-C7579A9D34D2}" srcId="{EB0CDD27-8B55-8D4F-B695-8967467F1AC3}" destId="{2927C76E-F4A3-8C40-A90E-58461C8722FC}" srcOrd="0" destOrd="0" parTransId="{75E9E6A1-0E9A-C94B-863B-5532462E6B65}" sibTransId="{5D1D08CC-8186-E447-8FEE-71D0455E5533}"/>
    <dgm:cxn modelId="{A5763F07-12CF-D143-AF4A-E6CB09CBD0E5}" type="presOf" srcId="{A9677D65-2E5A-B844-8BE7-821EAFB4833A}" destId="{B2B8D025-FC27-FF48-8C1C-B7CA02B9A28A}" srcOrd="1" destOrd="0" presId="urn:microsoft.com/office/officeart/2005/8/layout/process1"/>
    <dgm:cxn modelId="{A3133370-364A-224B-A111-8E92DFCECE83}" type="presOf" srcId="{5DB8B30F-36BF-0A40-AC99-A6E76AB1DA0A}" destId="{50B04355-5BA3-7F41-B104-756BDA7ACABF}" srcOrd="0" destOrd="0" presId="urn:microsoft.com/office/officeart/2005/8/layout/process1"/>
    <dgm:cxn modelId="{1F1DFDC6-8BE1-4F4F-A609-6837BD810FF6}" type="presOf" srcId="{2927C76E-F4A3-8C40-A90E-58461C8722FC}" destId="{292F4787-C431-034B-A361-B24B6977B38A}" srcOrd="0" destOrd="0" presId="urn:microsoft.com/office/officeart/2005/8/layout/process1"/>
    <dgm:cxn modelId="{BE234732-6332-9348-9364-E38027AFD595}" type="presOf" srcId="{7A1D939B-0243-514E-AE8A-F8CF72C04691}" destId="{C71ED728-AE48-E84F-A11D-247CF694737F}" srcOrd="0" destOrd="0" presId="urn:microsoft.com/office/officeart/2005/8/layout/process1"/>
    <dgm:cxn modelId="{9CFDAEBE-2957-014E-8A79-F08C6DDC20DE}" type="presOf" srcId="{A9677D65-2E5A-B844-8BE7-821EAFB4833A}" destId="{E509672F-C916-8046-A716-7DB5DB13CD29}" srcOrd="0" destOrd="0" presId="urn:microsoft.com/office/officeart/2005/8/layout/process1"/>
    <dgm:cxn modelId="{1581824D-9B9C-B34B-B173-25F612F0B74A}" type="presOf" srcId="{BCA0BF78-7D4E-1B4C-BBAB-DC9ACD69A896}" destId="{28279CC3-D223-B140-98FC-5D87F084F5E2}" srcOrd="0" destOrd="0" presId="urn:microsoft.com/office/officeart/2005/8/layout/process1"/>
    <dgm:cxn modelId="{D8B6A4F6-06F3-9846-A687-C6E5F43D82E4}" type="presOf" srcId="{5D1D08CC-8186-E447-8FEE-71D0455E5533}" destId="{6FA54271-F3E1-A146-9AF7-A5C2CDE75D76}" srcOrd="0" destOrd="0" presId="urn:microsoft.com/office/officeart/2005/8/layout/process1"/>
    <dgm:cxn modelId="{EF9EBDEE-98BA-6D42-ACF7-4118C773DB3D}" type="presOf" srcId="{5DB8B30F-36BF-0A40-AC99-A6E76AB1DA0A}" destId="{7E20BBCF-EB18-B040-BB37-46F5A890DE05}" srcOrd="1" destOrd="0" presId="urn:microsoft.com/office/officeart/2005/8/layout/process1"/>
    <dgm:cxn modelId="{9349FF35-BE7E-6F4B-8566-2A9E2F9D3FF6}" type="presParOf" srcId="{A2B6B975-E3ED-8148-AAC4-D55D1BB88495}" destId="{292F4787-C431-034B-A361-B24B6977B38A}" srcOrd="0" destOrd="0" presId="urn:microsoft.com/office/officeart/2005/8/layout/process1"/>
    <dgm:cxn modelId="{BE1589FB-F9B5-E041-9C58-D4AC2A43D6FF}" type="presParOf" srcId="{A2B6B975-E3ED-8148-AAC4-D55D1BB88495}" destId="{6FA54271-F3E1-A146-9AF7-A5C2CDE75D76}" srcOrd="1" destOrd="0" presId="urn:microsoft.com/office/officeart/2005/8/layout/process1"/>
    <dgm:cxn modelId="{4F61209D-BA2B-2040-BC79-26D144D9AE43}" type="presParOf" srcId="{6FA54271-F3E1-A146-9AF7-A5C2CDE75D76}" destId="{0518282C-24FF-CA46-9EE6-1C1BEF21DF6B}" srcOrd="0" destOrd="0" presId="urn:microsoft.com/office/officeart/2005/8/layout/process1"/>
    <dgm:cxn modelId="{BB2DFD57-E47E-4E46-885E-9B882B0CCDEC}" type="presParOf" srcId="{A2B6B975-E3ED-8148-AAC4-D55D1BB88495}" destId="{C71ED728-AE48-E84F-A11D-247CF694737F}" srcOrd="2" destOrd="0" presId="urn:microsoft.com/office/officeart/2005/8/layout/process1"/>
    <dgm:cxn modelId="{89C93B6A-51FE-2A49-AE69-39D4ECF3F0D3}" type="presParOf" srcId="{A2B6B975-E3ED-8148-AAC4-D55D1BB88495}" destId="{28279CC3-D223-B140-98FC-5D87F084F5E2}" srcOrd="3" destOrd="0" presId="urn:microsoft.com/office/officeart/2005/8/layout/process1"/>
    <dgm:cxn modelId="{9A00CED9-5621-E74D-B1C5-DF1BCA7DEC4E}" type="presParOf" srcId="{28279CC3-D223-B140-98FC-5D87F084F5E2}" destId="{AA7BE0FF-7973-334F-A24F-4BA44E6182C8}" srcOrd="0" destOrd="0" presId="urn:microsoft.com/office/officeart/2005/8/layout/process1"/>
    <dgm:cxn modelId="{C13864D7-08A1-F543-9DEC-518AFE173136}" type="presParOf" srcId="{A2B6B975-E3ED-8148-AAC4-D55D1BB88495}" destId="{A3EFCCD2-236F-0043-A7D9-6C8DC5CD8DC8}" srcOrd="4" destOrd="0" presId="urn:microsoft.com/office/officeart/2005/8/layout/process1"/>
    <dgm:cxn modelId="{A973CC13-213C-BF46-85C6-E0387B64C64C}" type="presParOf" srcId="{A2B6B975-E3ED-8148-AAC4-D55D1BB88495}" destId="{50B04355-5BA3-7F41-B104-756BDA7ACABF}" srcOrd="5" destOrd="0" presId="urn:microsoft.com/office/officeart/2005/8/layout/process1"/>
    <dgm:cxn modelId="{34CC1B4C-46B8-CD46-963E-7EE7C555414B}" type="presParOf" srcId="{50B04355-5BA3-7F41-B104-756BDA7ACABF}" destId="{7E20BBCF-EB18-B040-BB37-46F5A890DE05}" srcOrd="0" destOrd="0" presId="urn:microsoft.com/office/officeart/2005/8/layout/process1"/>
    <dgm:cxn modelId="{68690CDC-A4D5-6A47-931C-3EE350FF0822}" type="presParOf" srcId="{A2B6B975-E3ED-8148-AAC4-D55D1BB88495}" destId="{F1F62D18-5678-334F-97F9-3A7A403F0627}" srcOrd="6" destOrd="0" presId="urn:microsoft.com/office/officeart/2005/8/layout/process1"/>
    <dgm:cxn modelId="{367A1C6B-F8F9-8849-BAF7-5E58A57A8516}" type="presParOf" srcId="{A2B6B975-E3ED-8148-AAC4-D55D1BB88495}" destId="{E509672F-C916-8046-A716-7DB5DB13CD29}" srcOrd="7" destOrd="0" presId="urn:microsoft.com/office/officeart/2005/8/layout/process1"/>
    <dgm:cxn modelId="{87EB2296-2F16-2045-8C8D-F54E72C9C025}" type="presParOf" srcId="{E509672F-C916-8046-A716-7DB5DB13CD29}" destId="{B2B8D025-FC27-FF48-8C1C-B7CA02B9A28A}" srcOrd="0" destOrd="0" presId="urn:microsoft.com/office/officeart/2005/8/layout/process1"/>
    <dgm:cxn modelId="{FD0EC39E-0D8B-414D-B9B2-7F745E749D24}" type="presParOf" srcId="{A2B6B975-E3ED-8148-AAC4-D55D1BB88495}" destId="{4B70F2C3-2935-2549-B199-C16AB7F5BFA8}" srcOrd="8"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94CA6-C019-FB42-B949-4D5923597A19}">
      <dsp:nvSpPr>
        <dsp:cNvPr id="0" name=""/>
        <dsp:cNvSpPr/>
      </dsp:nvSpPr>
      <dsp:spPr>
        <a:xfrm>
          <a:off x="2576" y="934"/>
          <a:ext cx="764047" cy="160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Network sunk cost (fixed)</a:t>
          </a:r>
        </a:p>
      </dsp:txBody>
      <dsp:txXfrm>
        <a:off x="24954" y="23312"/>
        <a:ext cx="719291" cy="1564043"/>
      </dsp:txXfrm>
    </dsp:sp>
    <dsp:sp modelId="{12A67442-4D3C-584E-A116-83869BF89D48}">
      <dsp:nvSpPr>
        <dsp:cNvPr id="0" name=""/>
        <dsp:cNvSpPr/>
      </dsp:nvSpPr>
      <dsp:spPr>
        <a:xfrm>
          <a:off x="894983" y="934"/>
          <a:ext cx="764047" cy="160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Network maintenance costs (variable)</a:t>
          </a:r>
        </a:p>
      </dsp:txBody>
      <dsp:txXfrm>
        <a:off x="917361" y="23312"/>
        <a:ext cx="719291" cy="1564043"/>
      </dsp:txXfrm>
    </dsp:sp>
    <dsp:sp modelId="{088B290E-50B8-9E44-92B4-79E5CD7C030F}">
      <dsp:nvSpPr>
        <dsp:cNvPr id="0" name=""/>
        <dsp:cNvSpPr/>
      </dsp:nvSpPr>
      <dsp:spPr>
        <a:xfrm>
          <a:off x="1787390" y="934"/>
          <a:ext cx="2420501" cy="160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Network operations costs (variable)</a:t>
          </a:r>
        </a:p>
      </dsp:txBody>
      <dsp:txXfrm>
        <a:off x="1834510" y="48054"/>
        <a:ext cx="2326261" cy="1514559"/>
      </dsp:txXfrm>
    </dsp:sp>
    <dsp:sp modelId="{BE16161E-5951-3D4B-833A-85526FEB0ECE}">
      <dsp:nvSpPr>
        <dsp:cNvPr id="0" name=""/>
        <dsp:cNvSpPr/>
      </dsp:nvSpPr>
      <dsp:spPr>
        <a:xfrm>
          <a:off x="1787390" y="1769570"/>
          <a:ext cx="764047" cy="160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Total Network Costs to be Receovered</a:t>
          </a:r>
        </a:p>
      </dsp:txBody>
      <dsp:txXfrm>
        <a:off x="1809768" y="1791948"/>
        <a:ext cx="719291" cy="1564043"/>
      </dsp:txXfrm>
    </dsp:sp>
    <dsp:sp modelId="{CB3F8FF6-F79B-C04B-A7F5-1B64C900CB8A}">
      <dsp:nvSpPr>
        <dsp:cNvPr id="0" name=""/>
        <dsp:cNvSpPr/>
      </dsp:nvSpPr>
      <dsp:spPr>
        <a:xfrm>
          <a:off x="2615617" y="1769570"/>
          <a:ext cx="764047" cy="160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Cost allocation methodology</a:t>
          </a:r>
        </a:p>
      </dsp:txBody>
      <dsp:txXfrm>
        <a:off x="2637995" y="1791948"/>
        <a:ext cx="719291" cy="1564043"/>
      </dsp:txXfrm>
    </dsp:sp>
    <dsp:sp modelId="{8CD41BA5-6593-B64B-BAD0-14F6EF5B1716}">
      <dsp:nvSpPr>
        <dsp:cNvPr id="0" name=""/>
        <dsp:cNvSpPr/>
      </dsp:nvSpPr>
      <dsp:spPr>
        <a:xfrm>
          <a:off x="3443845" y="1769570"/>
          <a:ext cx="764047" cy="160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Cost allocation to market participants</a:t>
          </a:r>
        </a:p>
      </dsp:txBody>
      <dsp:txXfrm>
        <a:off x="3466223" y="1791948"/>
        <a:ext cx="719291" cy="1564043"/>
      </dsp:txXfrm>
    </dsp:sp>
    <dsp:sp modelId="{A001104A-7944-B74C-97B7-164492D2A062}">
      <dsp:nvSpPr>
        <dsp:cNvPr id="0" name=""/>
        <dsp:cNvSpPr/>
      </dsp:nvSpPr>
      <dsp:spPr>
        <a:xfrm>
          <a:off x="4336252" y="934"/>
          <a:ext cx="764047" cy="160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Transmission losses</a:t>
          </a:r>
        </a:p>
      </dsp:txBody>
      <dsp:txXfrm>
        <a:off x="4358630" y="23312"/>
        <a:ext cx="719291" cy="1564043"/>
      </dsp:txXfrm>
    </dsp:sp>
    <dsp:sp modelId="{8B5BB682-72D2-7D4B-BE10-32D287DBB106}">
      <dsp:nvSpPr>
        <dsp:cNvPr id="0" name=""/>
        <dsp:cNvSpPr/>
      </dsp:nvSpPr>
      <dsp:spPr>
        <a:xfrm>
          <a:off x="5228659" y="934"/>
          <a:ext cx="764047" cy="160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Ancillary services</a:t>
          </a:r>
        </a:p>
      </dsp:txBody>
      <dsp:txXfrm>
        <a:off x="5251037" y="23312"/>
        <a:ext cx="719291" cy="15640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2F4787-C431-034B-A361-B24B6977B38A}">
      <dsp:nvSpPr>
        <dsp:cNvPr id="0" name=""/>
        <dsp:cNvSpPr/>
      </dsp:nvSpPr>
      <dsp:spPr>
        <a:xfrm>
          <a:off x="2678" y="195304"/>
          <a:ext cx="830460" cy="1000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Determine regional transmission assets and value for power flows</a:t>
          </a:r>
        </a:p>
      </dsp:txBody>
      <dsp:txXfrm>
        <a:off x="27001" y="219627"/>
        <a:ext cx="781814" cy="951799"/>
      </dsp:txXfrm>
    </dsp:sp>
    <dsp:sp modelId="{6FA54271-F3E1-A146-9AF7-A5C2CDE75D76}">
      <dsp:nvSpPr>
        <dsp:cNvPr id="0" name=""/>
        <dsp:cNvSpPr/>
      </dsp:nvSpPr>
      <dsp:spPr>
        <a:xfrm>
          <a:off x="916185" y="592550"/>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916185" y="633741"/>
        <a:ext cx="123240" cy="123572"/>
      </dsp:txXfrm>
    </dsp:sp>
    <dsp:sp modelId="{C71ED728-AE48-E84F-A11D-247CF694737F}">
      <dsp:nvSpPr>
        <dsp:cNvPr id="0" name=""/>
        <dsp:cNvSpPr/>
      </dsp:nvSpPr>
      <dsp:spPr>
        <a:xfrm>
          <a:off x="1165324" y="195304"/>
          <a:ext cx="830460" cy="1000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Calculate annual revenue requirement for each asset</a:t>
          </a:r>
        </a:p>
      </dsp:txBody>
      <dsp:txXfrm>
        <a:off x="1189647" y="219627"/>
        <a:ext cx="781814" cy="951799"/>
      </dsp:txXfrm>
    </dsp:sp>
    <dsp:sp modelId="{28279CC3-D223-B140-98FC-5D87F084F5E2}">
      <dsp:nvSpPr>
        <dsp:cNvPr id="0" name=""/>
        <dsp:cNvSpPr/>
      </dsp:nvSpPr>
      <dsp:spPr>
        <a:xfrm>
          <a:off x="2078831" y="592550"/>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078831" y="633741"/>
        <a:ext cx="123240" cy="123572"/>
      </dsp:txXfrm>
    </dsp:sp>
    <dsp:sp modelId="{A3EFCCD2-236F-0043-A7D9-6C8DC5CD8DC8}">
      <dsp:nvSpPr>
        <dsp:cNvPr id="0" name=""/>
        <dsp:cNvSpPr/>
      </dsp:nvSpPr>
      <dsp:spPr>
        <a:xfrm>
          <a:off x="2327969" y="195304"/>
          <a:ext cx="830460" cy="1000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Calculate use of transmission system and losses for each bilateral trade</a:t>
          </a:r>
        </a:p>
      </dsp:txBody>
      <dsp:txXfrm>
        <a:off x="2352292" y="219627"/>
        <a:ext cx="781814" cy="951799"/>
      </dsp:txXfrm>
    </dsp:sp>
    <dsp:sp modelId="{50B04355-5BA3-7F41-B104-756BDA7ACABF}">
      <dsp:nvSpPr>
        <dsp:cNvPr id="0" name=""/>
        <dsp:cNvSpPr/>
      </dsp:nvSpPr>
      <dsp:spPr>
        <a:xfrm>
          <a:off x="3241476" y="592550"/>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241476" y="633741"/>
        <a:ext cx="123240" cy="123572"/>
      </dsp:txXfrm>
    </dsp:sp>
    <dsp:sp modelId="{F1F62D18-5678-334F-97F9-3A7A403F0627}">
      <dsp:nvSpPr>
        <dsp:cNvPr id="0" name=""/>
        <dsp:cNvSpPr/>
      </dsp:nvSpPr>
      <dsp:spPr>
        <a:xfrm>
          <a:off x="3490614" y="195304"/>
          <a:ext cx="830460" cy="1000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Calculate transmission operator revenue requirements for all bilateral trades</a:t>
          </a:r>
        </a:p>
      </dsp:txBody>
      <dsp:txXfrm>
        <a:off x="3514937" y="219627"/>
        <a:ext cx="781814" cy="951799"/>
      </dsp:txXfrm>
    </dsp:sp>
    <dsp:sp modelId="{E509672F-C916-8046-A716-7DB5DB13CD29}">
      <dsp:nvSpPr>
        <dsp:cNvPr id="0" name=""/>
        <dsp:cNvSpPr/>
      </dsp:nvSpPr>
      <dsp:spPr>
        <a:xfrm>
          <a:off x="4404121" y="592550"/>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404121" y="633741"/>
        <a:ext cx="123240" cy="123572"/>
      </dsp:txXfrm>
    </dsp:sp>
    <dsp:sp modelId="{4B70F2C3-2935-2549-B199-C16AB7F5BFA8}">
      <dsp:nvSpPr>
        <dsp:cNvPr id="0" name=""/>
        <dsp:cNvSpPr/>
      </dsp:nvSpPr>
      <dsp:spPr>
        <a:xfrm>
          <a:off x="4653260" y="195304"/>
          <a:ext cx="830460" cy="1000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Calculate purchaser charges to each transmission operator in the flow path</a:t>
          </a:r>
        </a:p>
      </dsp:txBody>
      <dsp:txXfrm>
        <a:off x="4677583" y="219627"/>
        <a:ext cx="781814" cy="9517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eloitte Colors">
      <a:dk1>
        <a:srgbClr val="000000"/>
      </a:dk1>
      <a:lt1>
        <a:srgbClr val="FFFFFF"/>
      </a:lt1>
      <a:dk2>
        <a:srgbClr val="C9DD03"/>
      </a:dk2>
      <a:lt2>
        <a:srgbClr val="72C7E7"/>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3C8A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F347E5-8442-4210-9B33-890C0B0CE3B3}">
  <ds:schemaRefs>
    <ds:schemaRef ds:uri="http://schemas.openxmlformats.org/officeDocument/2006/bibliography"/>
  </ds:schemaRefs>
</ds:datastoreItem>
</file>

<file path=customXml/itemProps2.xml><?xml version="1.0" encoding="utf-8"?>
<ds:datastoreItem xmlns:ds="http://schemas.openxmlformats.org/officeDocument/2006/customXml" ds:itemID="{0E0E1A0E-1B51-4F32-88AC-8077C1C0322F}">
  <ds:schemaRefs>
    <ds:schemaRef ds:uri="http://schemas.openxmlformats.org/officeDocument/2006/bibliography"/>
  </ds:schemaRefs>
</ds:datastoreItem>
</file>

<file path=customXml/itemProps3.xml><?xml version="1.0" encoding="utf-8"?>
<ds:datastoreItem xmlns:ds="http://schemas.openxmlformats.org/officeDocument/2006/customXml" ds:itemID="{F03206E3-4774-439F-843D-E1E1423406BF}">
  <ds:schemaRefs>
    <ds:schemaRef ds:uri="http://schemas.openxmlformats.org/officeDocument/2006/bibliography"/>
  </ds:schemaRefs>
</ds:datastoreItem>
</file>

<file path=customXml/itemProps4.xml><?xml version="1.0" encoding="utf-8"?>
<ds:datastoreItem xmlns:ds="http://schemas.openxmlformats.org/officeDocument/2006/customXml" ds:itemID="{C58D29CF-0EB7-40FE-8538-AEE79607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7974</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Regional Ov</vt:lpstr>
    </vt:vector>
  </TitlesOfParts>
  <Company>Deloitte</Company>
  <LinksUpToDate>false</LinksUpToDate>
  <CharactersWithSpaces>53326</CharactersWithSpaces>
  <SharedDoc>false</SharedDoc>
  <HLinks>
    <vt:vector size="12" baseType="variant">
      <vt:variant>
        <vt:i4>3080254</vt:i4>
      </vt:variant>
      <vt:variant>
        <vt:i4>69</vt:i4>
      </vt:variant>
      <vt:variant>
        <vt:i4>0</vt:i4>
      </vt:variant>
      <vt:variant>
        <vt:i4>5</vt:i4>
      </vt:variant>
      <vt:variant>
        <vt:lpwstr>http://www.pfsprogram.org/</vt:lpwstr>
      </vt:variant>
      <vt:variant>
        <vt:lpwstr/>
      </vt:variant>
      <vt:variant>
        <vt:i4>3538999</vt:i4>
      </vt:variant>
      <vt:variant>
        <vt:i4>66</vt:i4>
      </vt:variant>
      <vt:variant>
        <vt:i4>0</vt:i4>
      </vt:variant>
      <vt:variant>
        <vt:i4>5</vt:i4>
      </vt:variant>
      <vt:variant>
        <vt:lpwstr>http://www.financial-education.org/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Ov</dc:title>
  <dc:creator>Dragutin Janžek</dc:creator>
  <cp:lastModifiedBy>Deloitte</cp:lastModifiedBy>
  <cp:revision>2</cp:revision>
  <cp:lastPrinted>2013-07-29T20:04:00Z</cp:lastPrinted>
  <dcterms:created xsi:type="dcterms:W3CDTF">2018-09-13T17:34:00Z</dcterms:created>
  <dcterms:modified xsi:type="dcterms:W3CDTF">2018-09-13T17:34:00Z</dcterms:modified>
</cp:coreProperties>
</file>