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C25" w:rsidRDefault="00F214AB" w:rsidP="00E61092">
      <w:bookmarkStart w:id="0" w:name="_GoBack"/>
      <w:bookmarkEnd w:id="0"/>
      <w:r>
        <w:rPr>
          <w:noProof/>
        </w:rPr>
        <w:drawing>
          <wp:anchor distT="0" distB="0" distL="114300" distR="114300" simplePos="0" relativeHeight="251658240" behindDoc="0" locked="0" layoutInCell="1" allowOverlap="1">
            <wp:simplePos x="0" y="0"/>
            <wp:positionH relativeFrom="column">
              <wp:posOffset>4556125</wp:posOffset>
            </wp:positionH>
            <wp:positionV relativeFrom="paragraph">
              <wp:posOffset>-315595</wp:posOffset>
            </wp:positionV>
            <wp:extent cx="1485900"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pic:spPr>
                </pic:pic>
              </a:graphicData>
            </a:graphic>
            <wp14:sizeRelH relativeFrom="page">
              <wp14:pctWidth>0</wp14:pctWidth>
            </wp14:sizeRelH>
            <wp14:sizeRelV relativeFrom="page">
              <wp14:pctHeight>0</wp14:pctHeight>
            </wp14:sizeRelV>
          </wp:anchor>
        </w:drawing>
      </w:r>
    </w:p>
    <w:p w:rsidR="00700625" w:rsidRDefault="00700625" w:rsidP="00E61092"/>
    <w:p w:rsidR="00700625" w:rsidRPr="000D6C6D" w:rsidRDefault="000D6C6D" w:rsidP="00E61092">
      <w:pPr>
        <w:rPr>
          <w:sz w:val="40"/>
          <w:szCs w:val="40"/>
        </w:rPr>
      </w:pPr>
      <w:r w:rsidRPr="000D6C6D">
        <w:rPr>
          <w:sz w:val="40"/>
          <w:szCs w:val="40"/>
        </w:rPr>
        <w:t>DRAFT</w:t>
      </w:r>
    </w:p>
    <w:p w:rsidR="005A3077" w:rsidRDefault="005A3077" w:rsidP="00E61092"/>
    <w:p w:rsidR="005A3077" w:rsidRDefault="005A3077" w:rsidP="00E61092"/>
    <w:p w:rsidR="00796C96" w:rsidRPr="00E61092" w:rsidRDefault="00207D3D" w:rsidP="00E61092">
      <w:pPr>
        <w:spacing w:after="0"/>
        <w:jc w:val="center"/>
        <w:rPr>
          <w:b/>
          <w:sz w:val="40"/>
        </w:rPr>
      </w:pPr>
      <w:r w:rsidRPr="00E61092">
        <w:rPr>
          <w:b/>
          <w:sz w:val="40"/>
        </w:rPr>
        <w:t>Technical</w:t>
      </w:r>
      <w:r w:rsidR="006A6F18" w:rsidRPr="00E61092">
        <w:rPr>
          <w:b/>
          <w:sz w:val="40"/>
        </w:rPr>
        <w:t xml:space="preserve"> Report:</w:t>
      </w:r>
    </w:p>
    <w:p w:rsidR="006A6F18" w:rsidRPr="00E61092" w:rsidRDefault="006A6F18" w:rsidP="00E61092">
      <w:pPr>
        <w:spacing w:after="0"/>
        <w:jc w:val="center"/>
        <w:rPr>
          <w:b/>
          <w:sz w:val="40"/>
        </w:rPr>
      </w:pPr>
    </w:p>
    <w:p w:rsidR="003373EB" w:rsidRPr="00E61092" w:rsidRDefault="000D6C6D" w:rsidP="00E61092">
      <w:pPr>
        <w:spacing w:after="0"/>
        <w:jc w:val="center"/>
        <w:rPr>
          <w:b/>
          <w:bCs/>
          <w:sz w:val="48"/>
          <w:szCs w:val="32"/>
        </w:rPr>
      </w:pPr>
      <w:r>
        <w:rPr>
          <w:b/>
          <w:sz w:val="40"/>
        </w:rPr>
        <w:t>Training Needs Assessment of Southern Africa Regional Electricity Regulators Association (RERA)</w:t>
      </w:r>
    </w:p>
    <w:p w:rsidR="00502403" w:rsidRPr="00E61092" w:rsidRDefault="00502403" w:rsidP="00E61092">
      <w:pPr>
        <w:spacing w:after="0"/>
        <w:jc w:val="center"/>
        <w:rPr>
          <w:b/>
          <w:sz w:val="40"/>
        </w:rPr>
      </w:pPr>
    </w:p>
    <w:p w:rsidR="003373EB" w:rsidRDefault="00C008B5" w:rsidP="00E61092">
      <w:pPr>
        <w:spacing w:after="0"/>
        <w:jc w:val="center"/>
        <w:rPr>
          <w:b/>
          <w:sz w:val="32"/>
          <w:szCs w:val="32"/>
        </w:rPr>
      </w:pPr>
      <w:r>
        <w:rPr>
          <w:b/>
          <w:sz w:val="32"/>
          <w:szCs w:val="32"/>
        </w:rPr>
        <w:t>Dr. Graeme Chown, Consultant</w:t>
      </w:r>
    </w:p>
    <w:p w:rsidR="000D6C6D" w:rsidRDefault="00C008B5" w:rsidP="00E61092">
      <w:pPr>
        <w:spacing w:after="0"/>
        <w:jc w:val="center"/>
        <w:rPr>
          <w:b/>
          <w:sz w:val="32"/>
          <w:szCs w:val="32"/>
        </w:rPr>
      </w:pPr>
      <w:r>
        <w:rPr>
          <w:b/>
          <w:sz w:val="32"/>
          <w:szCs w:val="32"/>
        </w:rPr>
        <w:t>Maree Roos, Consultant</w:t>
      </w:r>
    </w:p>
    <w:p w:rsidR="000D6C6D" w:rsidRPr="00E61092" w:rsidRDefault="000D6C6D" w:rsidP="00E61092">
      <w:pPr>
        <w:spacing w:after="0"/>
        <w:jc w:val="center"/>
        <w:rPr>
          <w:b/>
          <w:sz w:val="32"/>
          <w:szCs w:val="32"/>
        </w:rPr>
      </w:pPr>
      <w:r>
        <w:rPr>
          <w:b/>
          <w:sz w:val="32"/>
          <w:szCs w:val="32"/>
        </w:rPr>
        <w:t>Alexander Filippov, Southern Africa Trade Hub</w:t>
      </w:r>
    </w:p>
    <w:p w:rsidR="00C8433C" w:rsidRPr="00E61092" w:rsidRDefault="00C8433C" w:rsidP="00E61092">
      <w:pPr>
        <w:spacing w:after="0"/>
        <w:jc w:val="center"/>
        <w:rPr>
          <w:b/>
          <w:sz w:val="32"/>
          <w:szCs w:val="32"/>
        </w:rPr>
      </w:pPr>
    </w:p>
    <w:p w:rsidR="00621DFC" w:rsidRPr="00E61092" w:rsidRDefault="00621DFC" w:rsidP="00AE0019">
      <w:pPr>
        <w:spacing w:after="0"/>
        <w:rPr>
          <w:b/>
          <w:sz w:val="32"/>
          <w:szCs w:val="32"/>
        </w:rPr>
      </w:pPr>
    </w:p>
    <w:p w:rsidR="00621DFC" w:rsidRPr="00E61092" w:rsidRDefault="00621DFC" w:rsidP="00E61092">
      <w:pPr>
        <w:spacing w:after="0"/>
        <w:jc w:val="center"/>
        <w:rPr>
          <w:b/>
          <w:sz w:val="32"/>
          <w:szCs w:val="32"/>
        </w:rPr>
      </w:pPr>
    </w:p>
    <w:p w:rsidR="00C8433C" w:rsidRPr="00E61092" w:rsidRDefault="00C8433C" w:rsidP="00E61092">
      <w:pPr>
        <w:pStyle w:val="BodyText"/>
        <w:spacing w:after="0" w:line="240" w:lineRule="auto"/>
        <w:jc w:val="center"/>
        <w:rPr>
          <w:b/>
          <w:sz w:val="32"/>
          <w:szCs w:val="32"/>
        </w:rPr>
      </w:pPr>
      <w:r w:rsidRPr="00E61092">
        <w:rPr>
          <w:b/>
          <w:sz w:val="32"/>
          <w:szCs w:val="32"/>
        </w:rPr>
        <w:t>Submitted by:</w:t>
      </w:r>
    </w:p>
    <w:p w:rsidR="00C8433C" w:rsidRPr="00E61092" w:rsidRDefault="006D0C41" w:rsidP="00E61092">
      <w:pPr>
        <w:pStyle w:val="BodyText"/>
        <w:spacing w:after="0" w:line="240" w:lineRule="auto"/>
        <w:jc w:val="center"/>
        <w:rPr>
          <w:b/>
          <w:sz w:val="32"/>
          <w:szCs w:val="32"/>
        </w:rPr>
      </w:pPr>
      <w:r w:rsidRPr="00E61092">
        <w:rPr>
          <w:b/>
          <w:sz w:val="32"/>
          <w:szCs w:val="32"/>
        </w:rPr>
        <w:t>AECOM International Development</w:t>
      </w:r>
    </w:p>
    <w:p w:rsidR="00C8433C" w:rsidRPr="00E61092" w:rsidRDefault="00C8433C" w:rsidP="00E61092">
      <w:pPr>
        <w:spacing w:after="0"/>
        <w:jc w:val="center"/>
        <w:rPr>
          <w:b/>
          <w:sz w:val="32"/>
          <w:szCs w:val="32"/>
        </w:rPr>
      </w:pPr>
    </w:p>
    <w:p w:rsidR="00C8433C" w:rsidRPr="00E61092" w:rsidRDefault="00C8433C" w:rsidP="00E61092">
      <w:pPr>
        <w:spacing w:after="0"/>
        <w:jc w:val="center"/>
        <w:rPr>
          <w:b/>
          <w:sz w:val="32"/>
          <w:szCs w:val="32"/>
        </w:rPr>
      </w:pPr>
    </w:p>
    <w:p w:rsidR="00621DFC" w:rsidRPr="00E61092" w:rsidRDefault="00621DFC" w:rsidP="00E61092">
      <w:pPr>
        <w:spacing w:after="0"/>
        <w:jc w:val="center"/>
        <w:rPr>
          <w:b/>
          <w:sz w:val="32"/>
          <w:szCs w:val="32"/>
        </w:rPr>
      </w:pPr>
    </w:p>
    <w:p w:rsidR="00C8433C" w:rsidRPr="00E61092" w:rsidRDefault="00C8433C" w:rsidP="00E61092">
      <w:pPr>
        <w:pStyle w:val="BodyText"/>
        <w:spacing w:after="0" w:line="240" w:lineRule="auto"/>
        <w:jc w:val="center"/>
        <w:rPr>
          <w:b/>
          <w:sz w:val="32"/>
          <w:szCs w:val="32"/>
        </w:rPr>
      </w:pPr>
      <w:r w:rsidRPr="00E61092">
        <w:rPr>
          <w:b/>
          <w:sz w:val="32"/>
          <w:szCs w:val="32"/>
        </w:rPr>
        <w:t>Submitted to:</w:t>
      </w:r>
    </w:p>
    <w:p w:rsidR="00C8433C" w:rsidRPr="00E61092" w:rsidRDefault="00621DFC" w:rsidP="00E61092">
      <w:pPr>
        <w:pStyle w:val="BodyText"/>
        <w:spacing w:after="0" w:line="240" w:lineRule="auto"/>
        <w:jc w:val="center"/>
        <w:rPr>
          <w:b/>
          <w:sz w:val="32"/>
          <w:szCs w:val="32"/>
        </w:rPr>
      </w:pPr>
      <w:r w:rsidRPr="00E61092">
        <w:rPr>
          <w:b/>
          <w:sz w:val="32"/>
          <w:szCs w:val="32"/>
        </w:rPr>
        <w:t>USAID/</w:t>
      </w:r>
      <w:r w:rsidR="00C8433C" w:rsidRPr="00E61092">
        <w:rPr>
          <w:b/>
          <w:sz w:val="32"/>
          <w:szCs w:val="32"/>
        </w:rPr>
        <w:t>Southern Africa</w:t>
      </w:r>
    </w:p>
    <w:p w:rsidR="00C8433C" w:rsidRPr="00E61092" w:rsidRDefault="00C8433C" w:rsidP="00E61092">
      <w:pPr>
        <w:spacing w:after="0"/>
        <w:jc w:val="center"/>
        <w:rPr>
          <w:b/>
          <w:sz w:val="32"/>
          <w:szCs w:val="32"/>
        </w:rPr>
      </w:pPr>
    </w:p>
    <w:p w:rsidR="005F37B7" w:rsidRPr="00E61092" w:rsidRDefault="005F37B7" w:rsidP="00E61092">
      <w:pPr>
        <w:spacing w:after="0"/>
        <w:jc w:val="center"/>
        <w:rPr>
          <w:b/>
          <w:sz w:val="32"/>
          <w:szCs w:val="32"/>
        </w:rPr>
      </w:pPr>
    </w:p>
    <w:p w:rsidR="005F37B7" w:rsidRPr="00E61092" w:rsidRDefault="005F37B7" w:rsidP="00E61092">
      <w:pPr>
        <w:spacing w:after="0"/>
        <w:jc w:val="center"/>
        <w:rPr>
          <w:b/>
          <w:sz w:val="32"/>
          <w:szCs w:val="32"/>
        </w:rPr>
      </w:pPr>
    </w:p>
    <w:p w:rsidR="00C8433C" w:rsidRPr="00E61092" w:rsidRDefault="000D6C6D" w:rsidP="00C32070">
      <w:pPr>
        <w:tabs>
          <w:tab w:val="left" w:pos="4962"/>
        </w:tabs>
        <w:spacing w:after="0"/>
        <w:jc w:val="center"/>
        <w:rPr>
          <w:b/>
          <w:sz w:val="32"/>
          <w:szCs w:val="32"/>
        </w:rPr>
      </w:pPr>
      <w:r>
        <w:rPr>
          <w:b/>
          <w:sz w:val="32"/>
          <w:szCs w:val="32"/>
        </w:rPr>
        <w:t>November, 2014</w:t>
      </w:r>
    </w:p>
    <w:p w:rsidR="00C8433C" w:rsidRPr="00E61092" w:rsidRDefault="00C8433C" w:rsidP="00E61092">
      <w:pPr>
        <w:spacing w:after="0"/>
        <w:jc w:val="center"/>
        <w:rPr>
          <w:b/>
          <w:sz w:val="32"/>
          <w:szCs w:val="32"/>
        </w:rPr>
      </w:pPr>
    </w:p>
    <w:p w:rsidR="006D0C41" w:rsidRPr="00E61092" w:rsidRDefault="006D0C41" w:rsidP="00E61092">
      <w:pPr>
        <w:spacing w:after="0"/>
        <w:jc w:val="center"/>
        <w:rPr>
          <w:b/>
          <w:sz w:val="32"/>
          <w:szCs w:val="32"/>
        </w:rPr>
      </w:pPr>
    </w:p>
    <w:p w:rsidR="006D0C41" w:rsidRPr="00E61092" w:rsidRDefault="006D0C41" w:rsidP="00E61092">
      <w:pPr>
        <w:spacing w:after="0"/>
        <w:jc w:val="center"/>
        <w:rPr>
          <w:b/>
          <w:sz w:val="32"/>
          <w:szCs w:val="32"/>
        </w:rPr>
      </w:pPr>
    </w:p>
    <w:p w:rsidR="006D0C41" w:rsidRPr="00E61092" w:rsidRDefault="006D0C41" w:rsidP="00E61092">
      <w:pPr>
        <w:spacing w:after="0"/>
        <w:jc w:val="center"/>
        <w:rPr>
          <w:b/>
          <w:bCs/>
          <w:sz w:val="32"/>
          <w:szCs w:val="32"/>
        </w:rPr>
      </w:pPr>
      <w:r w:rsidRPr="00E61092">
        <w:rPr>
          <w:b/>
          <w:sz w:val="32"/>
          <w:szCs w:val="32"/>
        </w:rPr>
        <w:t xml:space="preserve">USAID Contract No. </w:t>
      </w:r>
      <w:r w:rsidR="000D093D" w:rsidRPr="00E61092">
        <w:rPr>
          <w:b/>
          <w:sz w:val="32"/>
          <w:szCs w:val="32"/>
        </w:rPr>
        <w:t>674-C-00-10-00075-00</w:t>
      </w:r>
    </w:p>
    <w:p w:rsidR="00113E28" w:rsidRDefault="00113E28" w:rsidP="00E61092">
      <w:pPr>
        <w:pStyle w:val="BodyText"/>
      </w:pPr>
    </w:p>
    <w:p w:rsidR="00A7010F" w:rsidRDefault="00A7010F" w:rsidP="00E61092">
      <w:pPr>
        <w:pStyle w:val="BodyText"/>
      </w:pPr>
    </w:p>
    <w:p w:rsidR="00113E28" w:rsidRPr="00621DFC" w:rsidRDefault="00113E28" w:rsidP="00E61092">
      <w:pPr>
        <w:sectPr w:rsidR="00113E28" w:rsidRPr="00621DFC" w:rsidSect="00F34A1E">
          <w:headerReference w:type="default" r:id="rId10"/>
          <w:footerReference w:type="even" r:id="rId11"/>
          <w:footerReference w:type="default" r:id="rId12"/>
          <w:pgSz w:w="11909" w:h="16834" w:code="9"/>
          <w:pgMar w:top="1152" w:right="1152" w:bottom="1728" w:left="1152" w:header="850" w:footer="850" w:gutter="0"/>
          <w:cols w:space="720"/>
          <w:titlePg/>
          <w:docGrid w:linePitch="360"/>
        </w:sectPr>
      </w:pPr>
    </w:p>
    <w:p w:rsidR="00A33C16" w:rsidRPr="00F3429D" w:rsidRDefault="00A33C16" w:rsidP="00A33C16">
      <w:pPr>
        <w:pStyle w:val="Heading4"/>
        <w:rPr>
          <w:sz w:val="22"/>
          <w:szCs w:val="22"/>
        </w:rPr>
      </w:pPr>
      <w:bookmarkStart w:id="1" w:name="_Toc305681280"/>
      <w:r w:rsidRPr="00F3429D">
        <w:rPr>
          <w:sz w:val="22"/>
          <w:szCs w:val="22"/>
        </w:rPr>
        <w:lastRenderedPageBreak/>
        <w:t>Page intentionally left blank for printing so that Table of Contents will start on right-hand side of page</w:t>
      </w:r>
    </w:p>
    <w:p w:rsidR="00C54097" w:rsidRPr="00E61092" w:rsidRDefault="00A33C16" w:rsidP="00E61092">
      <w:pPr>
        <w:pStyle w:val="Heading1"/>
      </w:pPr>
      <w:r>
        <w:br w:type="column"/>
      </w:r>
      <w:bookmarkStart w:id="2" w:name="_Toc405470968"/>
      <w:r w:rsidR="00C54097" w:rsidRPr="00E61092">
        <w:lastRenderedPageBreak/>
        <w:t>TABLE OF CONTENTS</w:t>
      </w:r>
      <w:bookmarkEnd w:id="1"/>
      <w:bookmarkEnd w:id="2"/>
    </w:p>
    <w:p w:rsidR="00C54097" w:rsidRPr="00FD729C" w:rsidRDefault="00C54097" w:rsidP="00AE0019">
      <w:pPr>
        <w:pStyle w:val="SATHSource"/>
        <w:rPr>
          <w:sz w:val="22"/>
          <w:szCs w:val="22"/>
        </w:rPr>
      </w:pPr>
    </w:p>
    <w:p w:rsidR="00FD729C" w:rsidRPr="00FD729C" w:rsidRDefault="00E61092">
      <w:pPr>
        <w:pStyle w:val="TOC1"/>
        <w:tabs>
          <w:tab w:val="right" w:leader="dot" w:pos="9595"/>
        </w:tabs>
        <w:rPr>
          <w:rFonts w:asciiTheme="minorHAnsi" w:eastAsiaTheme="minorEastAsia" w:hAnsiTheme="minorHAnsi" w:cstheme="minorBidi"/>
          <w:noProof/>
          <w:sz w:val="22"/>
          <w:szCs w:val="22"/>
        </w:rPr>
      </w:pPr>
      <w:r w:rsidRPr="00FD729C">
        <w:rPr>
          <w:sz w:val="22"/>
          <w:szCs w:val="22"/>
        </w:rPr>
        <w:fldChar w:fldCharType="begin"/>
      </w:r>
      <w:r w:rsidRPr="00FD729C">
        <w:rPr>
          <w:sz w:val="22"/>
          <w:szCs w:val="22"/>
        </w:rPr>
        <w:instrText xml:space="preserve"> TOC \o "1-3" \h \z \u </w:instrText>
      </w:r>
      <w:r w:rsidRPr="00FD729C">
        <w:rPr>
          <w:sz w:val="22"/>
          <w:szCs w:val="22"/>
        </w:rPr>
        <w:fldChar w:fldCharType="separate"/>
      </w:r>
      <w:hyperlink w:anchor="_Toc405470968" w:history="1">
        <w:r w:rsidR="00FD729C" w:rsidRPr="00FD729C">
          <w:rPr>
            <w:rStyle w:val="Hyperlink"/>
            <w:noProof/>
            <w:sz w:val="22"/>
            <w:szCs w:val="22"/>
          </w:rPr>
          <w:t>TABLE OF CONTENTS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_Toc405470968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3</w:t>
        </w:r>
        <w:r w:rsidR="00FD729C" w:rsidRPr="00FD729C">
          <w:rPr>
            <w:noProof/>
            <w:webHidden/>
            <w:sz w:val="22"/>
            <w:szCs w:val="22"/>
          </w:rPr>
          <w:fldChar w:fldCharType="end"/>
        </w:r>
      </w:hyperlink>
    </w:p>
    <w:p w:rsidR="00FD729C" w:rsidRPr="00FD729C" w:rsidRDefault="0027527A">
      <w:pPr>
        <w:pStyle w:val="TOC2"/>
        <w:tabs>
          <w:tab w:val="right" w:leader="dot" w:pos="9595"/>
        </w:tabs>
        <w:rPr>
          <w:rFonts w:asciiTheme="minorHAnsi" w:eastAsiaTheme="minorEastAsia" w:hAnsiTheme="minorHAnsi" w:cstheme="minorBidi"/>
          <w:noProof/>
          <w:sz w:val="22"/>
          <w:szCs w:val="22"/>
        </w:rPr>
      </w:pPr>
      <w:hyperlink w:anchor="_Toc405470969" w:history="1">
        <w:r w:rsidR="00FD729C" w:rsidRPr="00FD729C">
          <w:rPr>
            <w:rStyle w:val="Hyperlink"/>
            <w:noProof/>
            <w:sz w:val="22"/>
            <w:szCs w:val="22"/>
          </w:rPr>
          <w:t>1. Introduction</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_Toc405470969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5</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0" w:history="1">
        <w:r w:rsidR="00FD729C" w:rsidRPr="00FD729C">
          <w:rPr>
            <w:rStyle w:val="Hyperlink"/>
            <w:noProof/>
            <w:sz w:val="22"/>
            <w:szCs w:val="22"/>
            <w:lang w:val="en-GB"/>
          </w:rPr>
          <w:t>1.1.</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Survey Objective</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_Toc405470970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6</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1" w:history="1">
        <w:r w:rsidR="00FD729C" w:rsidRPr="00FD729C">
          <w:rPr>
            <w:rStyle w:val="Hyperlink"/>
            <w:noProof/>
            <w:sz w:val="22"/>
            <w:szCs w:val="22"/>
            <w:lang w:val="en-GB"/>
          </w:rPr>
          <w:t>1.2.</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Survey Process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_Toc405470971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6</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2" w:history="1">
        <w:r w:rsidR="00FD729C" w:rsidRPr="00FD729C">
          <w:rPr>
            <w:rStyle w:val="Hyperlink"/>
            <w:noProof/>
            <w:sz w:val="22"/>
            <w:szCs w:val="22"/>
            <w:lang w:val="en-GB"/>
          </w:rPr>
          <w:t>1.3.</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Survey Responses, Structure &amp; Methodology</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_Toc405470972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6</w:t>
        </w:r>
        <w:r w:rsidR="00FD729C" w:rsidRPr="00FD729C">
          <w:rPr>
            <w:noProof/>
            <w:webHidden/>
            <w:sz w:val="22"/>
            <w:szCs w:val="22"/>
          </w:rPr>
          <w:fldChar w:fldCharType="end"/>
        </w:r>
      </w:hyperlink>
    </w:p>
    <w:p w:rsidR="00FD729C" w:rsidRPr="00FD729C" w:rsidRDefault="0027527A">
      <w:pPr>
        <w:pStyle w:val="TOC2"/>
        <w:tabs>
          <w:tab w:val="left" w:pos="720"/>
          <w:tab w:val="right" w:leader="dot" w:pos="9595"/>
        </w:tabs>
        <w:rPr>
          <w:rFonts w:asciiTheme="minorHAnsi" w:eastAsiaTheme="minorEastAsia" w:hAnsiTheme="minorHAnsi" w:cstheme="minorBidi"/>
          <w:noProof/>
          <w:sz w:val="22"/>
          <w:szCs w:val="22"/>
        </w:rPr>
      </w:pPr>
      <w:hyperlink w:anchor="_Toc405470973" w:history="1">
        <w:r w:rsidR="00FD729C" w:rsidRPr="00FD729C">
          <w:rPr>
            <w:rStyle w:val="Hyperlink"/>
            <w:noProof/>
            <w:sz w:val="22"/>
            <w:szCs w:val="22"/>
          </w:rPr>
          <w:t>2.</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rPr>
          <w:t>Current Capacity &amp; Training Requirements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_Toc405470973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9</w:t>
        </w:r>
        <w:r w:rsidR="00FD729C" w:rsidRPr="00FD729C">
          <w:rPr>
            <w:noProof/>
            <w:webHidden/>
            <w:sz w:val="22"/>
            <w:szCs w:val="22"/>
          </w:rPr>
          <w:fldChar w:fldCharType="end"/>
        </w:r>
      </w:hyperlink>
    </w:p>
    <w:p w:rsidR="00FD729C" w:rsidRPr="00FD729C" w:rsidRDefault="0027527A">
      <w:pPr>
        <w:pStyle w:val="TOC2"/>
        <w:tabs>
          <w:tab w:val="left" w:pos="720"/>
          <w:tab w:val="right" w:leader="dot" w:pos="9595"/>
        </w:tabs>
        <w:rPr>
          <w:rFonts w:asciiTheme="minorHAnsi" w:eastAsiaTheme="minorEastAsia" w:hAnsiTheme="minorHAnsi" w:cstheme="minorBidi"/>
          <w:noProof/>
          <w:sz w:val="22"/>
          <w:szCs w:val="22"/>
        </w:rPr>
      </w:pPr>
      <w:hyperlink w:anchor="_Toc405470974" w:history="1">
        <w:r w:rsidR="00FD729C" w:rsidRPr="00FD729C">
          <w:rPr>
            <w:rStyle w:val="Hyperlink"/>
            <w:noProof/>
            <w:sz w:val="22"/>
            <w:szCs w:val="22"/>
          </w:rPr>
          <w:t>3.</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rPr>
          <w:t>Traditional Regulation</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_Toc405470974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12</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5" w:history="1">
        <w:r w:rsidR="00FD729C" w:rsidRPr="00FD729C">
          <w:rPr>
            <w:rStyle w:val="Hyperlink"/>
            <w:noProof/>
            <w:sz w:val="22"/>
            <w:szCs w:val="22"/>
            <w:lang w:val="en-GB"/>
          </w:rPr>
          <w:t>3.1.</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Policy, Regulatory approaches and general understanding</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_Toc405470975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12</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6" w:history="1">
        <w:r w:rsidR="00FD729C" w:rsidRPr="00FD729C">
          <w:rPr>
            <w:rStyle w:val="Hyperlink"/>
            <w:noProof/>
            <w:sz w:val="22"/>
            <w:szCs w:val="22"/>
            <w:lang w:val="en-GB"/>
          </w:rPr>
          <w:t>3.2.</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Legal</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_Toc405470976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12</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7" w:history="1">
        <w:r w:rsidR="00FD729C" w:rsidRPr="00FD729C">
          <w:rPr>
            <w:rStyle w:val="Hyperlink"/>
            <w:noProof/>
            <w:sz w:val="22"/>
            <w:szCs w:val="22"/>
            <w:lang w:val="en-GB"/>
          </w:rPr>
          <w:t>3.3.</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Technical</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_Toc405470977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13</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8" w:history="1">
        <w:r w:rsidR="00FD729C" w:rsidRPr="00FD729C">
          <w:rPr>
            <w:rStyle w:val="Hyperlink"/>
            <w:noProof/>
            <w:sz w:val="22"/>
            <w:szCs w:val="22"/>
            <w:lang w:val="en-GB"/>
          </w:rPr>
          <w:t>3.4.</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Economic</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_Toc405470978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13</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79" w:history="1">
        <w:r w:rsidR="00FD729C" w:rsidRPr="00FD729C">
          <w:rPr>
            <w:rStyle w:val="Hyperlink"/>
            <w:noProof/>
            <w:sz w:val="22"/>
            <w:szCs w:val="22"/>
            <w:lang w:val="en-GB"/>
          </w:rPr>
          <w:t>3.5.</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Consumer</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_Toc405470979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14</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0" w:history="1">
        <w:r w:rsidR="00FD729C" w:rsidRPr="00FD729C">
          <w:rPr>
            <w:rStyle w:val="Hyperlink"/>
            <w:noProof/>
            <w:sz w:val="22"/>
            <w:szCs w:val="22"/>
            <w:lang w:val="en-GB"/>
          </w:rPr>
          <w:t>3.6.</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Oversight &amp; Compliance</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_Toc405470980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14</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1" w:history="1">
        <w:r w:rsidR="00FD729C" w:rsidRPr="00FD729C">
          <w:rPr>
            <w:rStyle w:val="Hyperlink"/>
            <w:noProof/>
            <w:sz w:val="22"/>
            <w:szCs w:val="22"/>
            <w:lang w:val="en-GB"/>
          </w:rPr>
          <w:t>3.7.</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General Managerial</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_Toc405470981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15</w:t>
        </w:r>
        <w:r w:rsidR="00FD729C" w:rsidRPr="00FD729C">
          <w:rPr>
            <w:noProof/>
            <w:webHidden/>
            <w:sz w:val="22"/>
            <w:szCs w:val="22"/>
          </w:rPr>
          <w:fldChar w:fldCharType="end"/>
        </w:r>
      </w:hyperlink>
    </w:p>
    <w:p w:rsidR="00FD729C" w:rsidRPr="00FD729C" w:rsidRDefault="0027527A">
      <w:pPr>
        <w:pStyle w:val="TOC2"/>
        <w:tabs>
          <w:tab w:val="left" w:pos="720"/>
          <w:tab w:val="right" w:leader="dot" w:pos="9595"/>
        </w:tabs>
        <w:rPr>
          <w:rFonts w:asciiTheme="minorHAnsi" w:eastAsiaTheme="minorEastAsia" w:hAnsiTheme="minorHAnsi" w:cstheme="minorBidi"/>
          <w:noProof/>
          <w:sz w:val="22"/>
          <w:szCs w:val="22"/>
        </w:rPr>
      </w:pPr>
      <w:hyperlink w:anchor="_Toc405470982" w:history="1">
        <w:r w:rsidR="00FD729C" w:rsidRPr="00FD729C">
          <w:rPr>
            <w:rStyle w:val="Hyperlink"/>
            <w:noProof/>
            <w:sz w:val="22"/>
            <w:szCs w:val="22"/>
          </w:rPr>
          <w:t>4.</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rPr>
          <w:t>Evolving Regulation</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_Toc405470982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16</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3" w:history="1">
        <w:r w:rsidR="00FD729C" w:rsidRPr="00FD729C">
          <w:rPr>
            <w:rStyle w:val="Hyperlink"/>
            <w:noProof/>
            <w:sz w:val="22"/>
            <w:szCs w:val="22"/>
            <w:lang w:val="en-GB"/>
          </w:rPr>
          <w:t>4.1.</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Policy</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_Toc405470983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16</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4" w:history="1">
        <w:r w:rsidR="00FD729C" w:rsidRPr="00FD729C">
          <w:rPr>
            <w:rStyle w:val="Hyperlink"/>
            <w:noProof/>
            <w:sz w:val="22"/>
            <w:szCs w:val="22"/>
            <w:lang w:val="en-GB"/>
          </w:rPr>
          <w:t>4.2.</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Renewable Energy Implications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_Toc405470984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16</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5" w:history="1">
        <w:r w:rsidR="00FD729C" w:rsidRPr="00FD729C">
          <w:rPr>
            <w:rStyle w:val="Hyperlink"/>
            <w:noProof/>
            <w:sz w:val="22"/>
            <w:szCs w:val="22"/>
            <w:lang w:val="en-GB"/>
          </w:rPr>
          <w:t>4.3.</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Embedded Generation</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_Toc405470985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17</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6" w:history="1">
        <w:r w:rsidR="00FD729C" w:rsidRPr="00FD729C">
          <w:rPr>
            <w:rStyle w:val="Hyperlink"/>
            <w:noProof/>
            <w:sz w:val="22"/>
            <w:szCs w:val="22"/>
            <w:lang w:val="en-GB"/>
          </w:rPr>
          <w:t>4.4.</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Technology Innovation</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_Toc405470986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17</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7" w:history="1">
        <w:r w:rsidR="00FD729C" w:rsidRPr="00FD729C">
          <w:rPr>
            <w:rStyle w:val="Hyperlink"/>
            <w:noProof/>
            <w:sz w:val="22"/>
            <w:szCs w:val="22"/>
            <w:lang w:val="en-GB"/>
          </w:rPr>
          <w:t>4.5.</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Evolving Market Structure</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_Toc405470987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18</w:t>
        </w:r>
        <w:r w:rsidR="00FD729C" w:rsidRPr="00FD729C">
          <w:rPr>
            <w:noProof/>
            <w:webHidden/>
            <w:sz w:val="22"/>
            <w:szCs w:val="22"/>
          </w:rPr>
          <w:fldChar w:fldCharType="end"/>
        </w:r>
      </w:hyperlink>
    </w:p>
    <w:p w:rsidR="00FD729C" w:rsidRPr="00FD729C" w:rsidRDefault="0027527A">
      <w:pPr>
        <w:pStyle w:val="TOC2"/>
        <w:tabs>
          <w:tab w:val="left" w:pos="720"/>
          <w:tab w:val="right" w:leader="dot" w:pos="9595"/>
        </w:tabs>
        <w:rPr>
          <w:rFonts w:asciiTheme="minorHAnsi" w:eastAsiaTheme="minorEastAsia" w:hAnsiTheme="minorHAnsi" w:cstheme="minorBidi"/>
          <w:noProof/>
          <w:sz w:val="22"/>
          <w:szCs w:val="22"/>
        </w:rPr>
      </w:pPr>
      <w:hyperlink w:anchor="_Toc405470988" w:history="1">
        <w:r w:rsidR="00FD729C" w:rsidRPr="00FD729C">
          <w:rPr>
            <w:rStyle w:val="Hyperlink"/>
            <w:noProof/>
            <w:sz w:val="22"/>
            <w:szCs w:val="22"/>
          </w:rPr>
          <w:t>5.</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rPr>
          <w:t>Core Competencies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_Toc405470988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19</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89" w:history="1">
        <w:r w:rsidR="00FD729C" w:rsidRPr="00FD729C">
          <w:rPr>
            <w:rStyle w:val="Hyperlink"/>
            <w:noProof/>
            <w:sz w:val="22"/>
            <w:szCs w:val="22"/>
            <w:lang w:val="en-GB"/>
          </w:rPr>
          <w:t>5.1.</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Technical</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_Toc405470989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19</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0" w:history="1">
        <w:r w:rsidR="00FD729C" w:rsidRPr="00FD729C">
          <w:rPr>
            <w:rStyle w:val="Hyperlink"/>
            <w:noProof/>
            <w:sz w:val="22"/>
            <w:szCs w:val="22"/>
            <w:lang w:val="en-GB"/>
          </w:rPr>
          <w:t>5.2.</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Financial &amp; Economic</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_Toc405470990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20</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1" w:history="1">
        <w:r w:rsidR="00FD729C" w:rsidRPr="00FD729C">
          <w:rPr>
            <w:rStyle w:val="Hyperlink"/>
            <w:noProof/>
            <w:sz w:val="22"/>
            <w:szCs w:val="22"/>
            <w:lang w:val="en-GB"/>
          </w:rPr>
          <w:t>5.3.</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General Business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_Toc405470991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20</w:t>
        </w:r>
        <w:r w:rsidR="00FD729C" w:rsidRPr="00FD729C">
          <w:rPr>
            <w:noProof/>
            <w:webHidden/>
            <w:sz w:val="22"/>
            <w:szCs w:val="22"/>
          </w:rPr>
          <w:fldChar w:fldCharType="end"/>
        </w:r>
      </w:hyperlink>
    </w:p>
    <w:p w:rsidR="00FD729C" w:rsidRPr="00FD729C" w:rsidRDefault="0027527A">
      <w:pPr>
        <w:pStyle w:val="TOC2"/>
        <w:tabs>
          <w:tab w:val="left" w:pos="720"/>
          <w:tab w:val="right" w:leader="dot" w:pos="9595"/>
        </w:tabs>
        <w:rPr>
          <w:rFonts w:asciiTheme="minorHAnsi" w:eastAsiaTheme="minorEastAsia" w:hAnsiTheme="minorHAnsi" w:cstheme="minorBidi"/>
          <w:noProof/>
          <w:sz w:val="22"/>
          <w:szCs w:val="22"/>
        </w:rPr>
      </w:pPr>
      <w:hyperlink w:anchor="_Toc405470992" w:history="1">
        <w:r w:rsidR="00FD729C" w:rsidRPr="00FD729C">
          <w:rPr>
            <w:rStyle w:val="Hyperlink"/>
            <w:noProof/>
            <w:sz w:val="22"/>
            <w:szCs w:val="22"/>
          </w:rPr>
          <w:t>6.</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rPr>
          <w:t>Alignment with Regulatory Principles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_Toc405470992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21</w:t>
        </w:r>
        <w:r w:rsidR="00FD729C" w:rsidRPr="00FD729C">
          <w:rPr>
            <w:noProof/>
            <w:webHidden/>
            <w:sz w:val="22"/>
            <w:szCs w:val="22"/>
          </w:rPr>
          <w:fldChar w:fldCharType="end"/>
        </w:r>
      </w:hyperlink>
    </w:p>
    <w:p w:rsidR="00FD729C" w:rsidRPr="00FD729C" w:rsidRDefault="0027527A">
      <w:pPr>
        <w:pStyle w:val="TOC2"/>
        <w:tabs>
          <w:tab w:val="left" w:pos="720"/>
          <w:tab w:val="right" w:leader="dot" w:pos="9595"/>
        </w:tabs>
        <w:rPr>
          <w:rFonts w:asciiTheme="minorHAnsi" w:eastAsiaTheme="minorEastAsia" w:hAnsiTheme="minorHAnsi" w:cstheme="minorBidi"/>
          <w:noProof/>
          <w:sz w:val="22"/>
          <w:szCs w:val="22"/>
        </w:rPr>
      </w:pPr>
      <w:hyperlink w:anchor="_Toc405470993" w:history="1">
        <w:r w:rsidR="00FD729C" w:rsidRPr="00FD729C">
          <w:rPr>
            <w:rStyle w:val="Hyperlink"/>
            <w:noProof/>
            <w:sz w:val="22"/>
            <w:szCs w:val="22"/>
          </w:rPr>
          <w:t>7.</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rPr>
          <w:t>Conclusions and Recommendations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_Toc405470993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22</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4" w:history="1">
        <w:r w:rsidR="00FD729C" w:rsidRPr="00FD729C">
          <w:rPr>
            <w:rStyle w:val="Hyperlink"/>
            <w:noProof/>
            <w:sz w:val="22"/>
            <w:szCs w:val="22"/>
            <w:lang w:val="en-GB"/>
          </w:rPr>
          <w:t>7.1.</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Training Program Sustainability</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_Toc405470994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22</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5" w:history="1">
        <w:r w:rsidR="00FD729C" w:rsidRPr="00FD729C">
          <w:rPr>
            <w:rStyle w:val="Hyperlink"/>
            <w:noProof/>
            <w:sz w:val="22"/>
            <w:szCs w:val="22"/>
            <w:lang w:val="en-GB"/>
          </w:rPr>
          <w:t>7.2.</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Train the Trainer</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_Toc405470995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23</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6" w:history="1">
        <w:r w:rsidR="00FD729C" w:rsidRPr="00FD729C">
          <w:rPr>
            <w:rStyle w:val="Hyperlink"/>
            <w:noProof/>
            <w:sz w:val="22"/>
            <w:szCs w:val="22"/>
            <w:lang w:val="en-GB"/>
          </w:rPr>
          <w:t>7.3.</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Staffing &amp; Vacancies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_Toc405470996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23</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7" w:history="1">
        <w:r w:rsidR="00FD729C" w:rsidRPr="00FD729C">
          <w:rPr>
            <w:rStyle w:val="Hyperlink"/>
            <w:noProof/>
            <w:sz w:val="22"/>
            <w:szCs w:val="22"/>
            <w:lang w:val="en-GB"/>
          </w:rPr>
          <w:t>7.4.</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Training Methods &amp; Curriculum</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_Toc405470997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23</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8" w:history="1">
        <w:r w:rsidR="00FD729C" w:rsidRPr="00FD729C">
          <w:rPr>
            <w:rStyle w:val="Hyperlink"/>
            <w:noProof/>
            <w:sz w:val="22"/>
            <w:szCs w:val="22"/>
            <w:lang w:val="en-GB"/>
          </w:rPr>
          <w:t>7.5.</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Traditional Regulation</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_Toc405470998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24</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0999" w:history="1">
        <w:r w:rsidR="00FD729C" w:rsidRPr="00FD729C">
          <w:rPr>
            <w:rStyle w:val="Hyperlink"/>
            <w:noProof/>
            <w:sz w:val="22"/>
            <w:szCs w:val="22"/>
            <w:lang w:val="en-GB"/>
          </w:rPr>
          <w:t>7.6.</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Evolving Regulation</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_Toc405470999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24</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1000" w:history="1">
        <w:r w:rsidR="00FD729C" w:rsidRPr="00FD729C">
          <w:rPr>
            <w:rStyle w:val="Hyperlink"/>
            <w:noProof/>
            <w:sz w:val="22"/>
            <w:szCs w:val="22"/>
            <w:lang w:val="en-GB"/>
          </w:rPr>
          <w:t>7.7.</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Core Competencies: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_Toc405471000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24</w:t>
        </w:r>
        <w:r w:rsidR="00FD729C" w:rsidRPr="00FD729C">
          <w:rPr>
            <w:noProof/>
            <w:webHidden/>
            <w:sz w:val="22"/>
            <w:szCs w:val="22"/>
          </w:rPr>
          <w:fldChar w:fldCharType="end"/>
        </w:r>
      </w:hyperlink>
    </w:p>
    <w:p w:rsidR="00FD729C" w:rsidRPr="00FD729C" w:rsidRDefault="0027527A">
      <w:pPr>
        <w:pStyle w:val="TOC2"/>
        <w:tabs>
          <w:tab w:val="left" w:pos="960"/>
          <w:tab w:val="right" w:leader="dot" w:pos="9595"/>
        </w:tabs>
        <w:rPr>
          <w:rFonts w:asciiTheme="minorHAnsi" w:eastAsiaTheme="minorEastAsia" w:hAnsiTheme="minorHAnsi" w:cstheme="minorBidi"/>
          <w:noProof/>
          <w:sz w:val="22"/>
          <w:szCs w:val="22"/>
        </w:rPr>
      </w:pPr>
      <w:hyperlink w:anchor="_Toc405471001" w:history="1">
        <w:r w:rsidR="00FD729C" w:rsidRPr="00FD729C">
          <w:rPr>
            <w:rStyle w:val="Hyperlink"/>
            <w:noProof/>
            <w:sz w:val="22"/>
            <w:szCs w:val="22"/>
            <w:lang w:val="en-GB"/>
          </w:rPr>
          <w:t>7.8.</w:t>
        </w:r>
        <w:r w:rsidR="00FD729C" w:rsidRPr="00FD729C">
          <w:rPr>
            <w:rFonts w:asciiTheme="minorHAnsi" w:eastAsiaTheme="minorEastAsia" w:hAnsiTheme="minorHAnsi" w:cstheme="minorBidi"/>
            <w:noProof/>
            <w:sz w:val="22"/>
            <w:szCs w:val="22"/>
          </w:rPr>
          <w:tab/>
        </w:r>
        <w:r w:rsidR="00FD729C" w:rsidRPr="00FD729C">
          <w:rPr>
            <w:rStyle w:val="Hyperlink"/>
            <w:noProof/>
            <w:sz w:val="22"/>
            <w:szCs w:val="22"/>
            <w:lang w:val="en-GB"/>
          </w:rPr>
          <w:t>Alignment with key regulatory principles</w:t>
        </w:r>
        <w:r w:rsidR="00FD729C" w:rsidRPr="00FD729C">
          <w:rPr>
            <w:noProof/>
            <w:webHidden/>
            <w:sz w:val="22"/>
            <w:szCs w:val="22"/>
          </w:rPr>
          <w:tab/>
        </w:r>
        <w:r w:rsidR="00FD729C" w:rsidRPr="00FD729C">
          <w:rPr>
            <w:noProof/>
            <w:webHidden/>
            <w:sz w:val="22"/>
            <w:szCs w:val="22"/>
          </w:rPr>
          <w:fldChar w:fldCharType="begin"/>
        </w:r>
        <w:r w:rsidR="00FD729C" w:rsidRPr="00FD729C">
          <w:rPr>
            <w:noProof/>
            <w:webHidden/>
            <w:sz w:val="22"/>
            <w:szCs w:val="22"/>
          </w:rPr>
          <w:instrText xml:space="preserve"> PAGEREF _Toc405471001 \h </w:instrText>
        </w:r>
        <w:r w:rsidR="00FD729C" w:rsidRPr="00FD729C">
          <w:rPr>
            <w:noProof/>
            <w:webHidden/>
            <w:sz w:val="22"/>
            <w:szCs w:val="22"/>
          </w:rPr>
        </w:r>
        <w:r w:rsidR="00FD729C" w:rsidRPr="00FD729C">
          <w:rPr>
            <w:noProof/>
            <w:webHidden/>
            <w:sz w:val="22"/>
            <w:szCs w:val="22"/>
          </w:rPr>
          <w:fldChar w:fldCharType="separate"/>
        </w:r>
        <w:r w:rsidR="00FD729C" w:rsidRPr="00FD729C">
          <w:rPr>
            <w:noProof/>
            <w:webHidden/>
            <w:sz w:val="22"/>
            <w:szCs w:val="22"/>
          </w:rPr>
          <w:t>25</w:t>
        </w:r>
        <w:r w:rsidR="00FD729C" w:rsidRPr="00FD729C">
          <w:rPr>
            <w:noProof/>
            <w:webHidden/>
            <w:sz w:val="22"/>
            <w:szCs w:val="22"/>
          </w:rPr>
          <w:fldChar w:fldCharType="end"/>
        </w:r>
      </w:hyperlink>
    </w:p>
    <w:p w:rsidR="00E61092" w:rsidRDefault="00E61092" w:rsidP="00E61092">
      <w:r w:rsidRPr="00FD729C">
        <w:rPr>
          <w:sz w:val="22"/>
          <w:szCs w:val="22"/>
        </w:rPr>
        <w:fldChar w:fldCharType="end"/>
      </w:r>
    </w:p>
    <w:p w:rsidR="0095765D" w:rsidRPr="00763548" w:rsidRDefault="00656F48" w:rsidP="00763548">
      <w:pPr>
        <w:pStyle w:val="Heading2"/>
        <w:ind w:left="360" w:hanging="360"/>
      </w:pPr>
      <w:r>
        <w:br w:type="column"/>
      </w:r>
      <w:bookmarkStart w:id="3" w:name="_Toc404780576"/>
      <w:bookmarkStart w:id="4" w:name="_Toc405470969"/>
      <w:r w:rsidR="00763548">
        <w:lastRenderedPageBreak/>
        <w:t xml:space="preserve">1. </w:t>
      </w:r>
      <w:r w:rsidR="0095765D" w:rsidRPr="00763548">
        <w:t>Introduction</w:t>
      </w:r>
      <w:bookmarkEnd w:id="3"/>
      <w:bookmarkEnd w:id="4"/>
    </w:p>
    <w:p w:rsidR="00F214AB" w:rsidRPr="00F214AB" w:rsidRDefault="00F214AB" w:rsidP="00C008B5">
      <w:pPr>
        <w:spacing w:after="0"/>
        <w:rPr>
          <w:sz w:val="22"/>
          <w:szCs w:val="22"/>
        </w:rPr>
      </w:pPr>
      <w:r w:rsidRPr="00F214AB">
        <w:rPr>
          <w:sz w:val="22"/>
          <w:szCs w:val="22"/>
        </w:rPr>
        <w:t>USAID Southern Africa Trade Hub (the Trade Hub) is working with governments and regional institutions, such as the Regional Electricity Regulators Association of Southern Africa (RERA), to strengthen capacity for regulating the clean energy sector in the region. Developing a transparent, robust and predictable clean energy regulatory regime in the re</w:t>
      </w:r>
      <w:r w:rsidR="00C008B5">
        <w:rPr>
          <w:sz w:val="22"/>
          <w:szCs w:val="22"/>
        </w:rPr>
        <w:t>gion is critical to attracting I</w:t>
      </w:r>
      <w:r w:rsidRPr="00F214AB">
        <w:rPr>
          <w:sz w:val="22"/>
          <w:szCs w:val="22"/>
        </w:rPr>
        <w:t>ndependent Power Producers (IPP) investment in the sector. An increase in IPP clean electricity generation will contribute to security of supply, climate change mitigation, economic growth, trade competitiveness, poverty reduction and food security in the region.</w:t>
      </w:r>
    </w:p>
    <w:p w:rsidR="00FC4C38" w:rsidRDefault="00FC4C38" w:rsidP="00C008B5">
      <w:pPr>
        <w:spacing w:after="0"/>
        <w:rPr>
          <w:sz w:val="22"/>
          <w:szCs w:val="22"/>
        </w:rPr>
      </w:pPr>
    </w:p>
    <w:p w:rsidR="0095765D" w:rsidRPr="00F214AB" w:rsidRDefault="0095765D" w:rsidP="00C008B5">
      <w:pPr>
        <w:spacing w:after="0"/>
        <w:rPr>
          <w:sz w:val="22"/>
          <w:szCs w:val="22"/>
        </w:rPr>
      </w:pPr>
      <w:r w:rsidRPr="00F214AB">
        <w:rPr>
          <w:sz w:val="22"/>
          <w:szCs w:val="22"/>
        </w:rPr>
        <w:t xml:space="preserve">The Southern African Development Community (SADC) Ministers responsible for Energy established the Regional Electricity Regulators Association of Southern Africa (RERA) as a formal association of electricity regulators The Association was established in terms of the SADC Protocol on Energy (1996), the SADC Energy Co-operation Policy and Strategy (1996), the SADC Energy Sector Action Plan (1997), the SADC Energy Activity Plan (2000) and in pursuit of the broader initiative of the New Partnership for Africa’s Development (NEPAD) and the African Energy Commission (AFREC). </w:t>
      </w:r>
    </w:p>
    <w:p w:rsidR="00FC4C38" w:rsidRDefault="00FC4C38" w:rsidP="00C008B5">
      <w:pPr>
        <w:spacing w:after="0"/>
        <w:rPr>
          <w:sz w:val="22"/>
          <w:szCs w:val="22"/>
        </w:rPr>
      </w:pPr>
    </w:p>
    <w:p w:rsidR="0095765D" w:rsidRPr="00F214AB" w:rsidRDefault="0095765D" w:rsidP="00C008B5">
      <w:pPr>
        <w:spacing w:after="0"/>
        <w:rPr>
          <w:sz w:val="22"/>
          <w:szCs w:val="22"/>
        </w:rPr>
      </w:pPr>
      <w:r w:rsidRPr="00F214AB">
        <w:rPr>
          <w:sz w:val="22"/>
          <w:szCs w:val="22"/>
        </w:rPr>
        <w:t>In this context RERA’s mandate is to ensure:</w:t>
      </w:r>
    </w:p>
    <w:p w:rsidR="00FC4C38" w:rsidRDefault="00FC4C38" w:rsidP="00C008B5">
      <w:pPr>
        <w:pStyle w:val="Heading4"/>
        <w:spacing w:after="0"/>
        <w:rPr>
          <w:b/>
          <w:sz w:val="22"/>
          <w:szCs w:val="22"/>
        </w:rPr>
      </w:pPr>
    </w:p>
    <w:p w:rsidR="0095765D" w:rsidRPr="00763548" w:rsidRDefault="0095765D" w:rsidP="00C008B5">
      <w:pPr>
        <w:pStyle w:val="Heading4"/>
        <w:spacing w:after="0"/>
        <w:rPr>
          <w:b/>
          <w:sz w:val="22"/>
          <w:szCs w:val="22"/>
        </w:rPr>
      </w:pPr>
      <w:r w:rsidRPr="00763548">
        <w:rPr>
          <w:b/>
          <w:sz w:val="22"/>
          <w:szCs w:val="22"/>
        </w:rPr>
        <w:t>Capacity Building &amp; Information Sharing</w:t>
      </w:r>
    </w:p>
    <w:p w:rsidR="0095765D" w:rsidRPr="00F21BB2" w:rsidRDefault="0095765D" w:rsidP="00C008B5">
      <w:pPr>
        <w:spacing w:after="0"/>
        <w:rPr>
          <w:sz w:val="22"/>
          <w:szCs w:val="22"/>
        </w:rPr>
      </w:pPr>
      <w:r w:rsidRPr="00F21BB2">
        <w:rPr>
          <w:sz w:val="22"/>
          <w:szCs w:val="22"/>
        </w:rPr>
        <w:t>Facilitate electricity regulatory capacity building among Members at both a national and regional level through information sharing and skills training.</w:t>
      </w:r>
    </w:p>
    <w:p w:rsidR="00FC4C38" w:rsidRDefault="00FC4C38" w:rsidP="00C008B5">
      <w:pPr>
        <w:pStyle w:val="Heading4"/>
        <w:spacing w:after="0"/>
        <w:rPr>
          <w:b/>
          <w:sz w:val="22"/>
          <w:szCs w:val="22"/>
        </w:rPr>
      </w:pPr>
    </w:p>
    <w:p w:rsidR="0095765D" w:rsidRPr="00763548" w:rsidRDefault="0095765D" w:rsidP="00C008B5">
      <w:pPr>
        <w:pStyle w:val="Heading4"/>
        <w:spacing w:after="0"/>
        <w:rPr>
          <w:b/>
          <w:sz w:val="22"/>
          <w:szCs w:val="22"/>
        </w:rPr>
      </w:pPr>
      <w:r w:rsidRPr="00763548">
        <w:rPr>
          <w:b/>
          <w:sz w:val="22"/>
          <w:szCs w:val="22"/>
        </w:rPr>
        <w:t>Facilitation of Electricity Supply Industry (ESI) Policy, Legislation and Regulations</w:t>
      </w:r>
    </w:p>
    <w:p w:rsidR="0095765D" w:rsidRPr="00763548" w:rsidRDefault="0095765D" w:rsidP="00C008B5">
      <w:pPr>
        <w:spacing w:after="0"/>
        <w:rPr>
          <w:sz w:val="22"/>
          <w:szCs w:val="22"/>
          <w:lang w:val="en-GB"/>
        </w:rPr>
      </w:pPr>
      <w:r w:rsidRPr="00763548">
        <w:rPr>
          <w:sz w:val="22"/>
          <w:szCs w:val="22"/>
          <w:lang w:val="en-GB"/>
        </w:rPr>
        <w:t>Facilitate harmonized ESI policy, legislation and regulations for cross-border trading, focusing on terms and conditions for access to transmission capacity and cross-border tariffs.</w:t>
      </w:r>
    </w:p>
    <w:p w:rsidR="00FC4C38" w:rsidRDefault="00FC4C38" w:rsidP="00C008B5">
      <w:pPr>
        <w:pStyle w:val="Heading4"/>
        <w:spacing w:after="0"/>
        <w:rPr>
          <w:b/>
          <w:sz w:val="22"/>
          <w:szCs w:val="22"/>
        </w:rPr>
      </w:pPr>
    </w:p>
    <w:p w:rsidR="0095765D" w:rsidRPr="00763548" w:rsidRDefault="0095765D" w:rsidP="00C008B5">
      <w:pPr>
        <w:pStyle w:val="Heading4"/>
        <w:spacing w:after="0"/>
        <w:rPr>
          <w:b/>
          <w:sz w:val="22"/>
          <w:szCs w:val="22"/>
        </w:rPr>
      </w:pPr>
      <w:r w:rsidRPr="00763548">
        <w:rPr>
          <w:b/>
          <w:sz w:val="22"/>
          <w:szCs w:val="22"/>
        </w:rPr>
        <w:t>Regional Regulatory Cooperation</w:t>
      </w:r>
    </w:p>
    <w:p w:rsidR="0095765D" w:rsidRPr="00F21BB2" w:rsidRDefault="0095765D" w:rsidP="00C008B5">
      <w:pPr>
        <w:spacing w:after="0"/>
        <w:rPr>
          <w:sz w:val="22"/>
          <w:szCs w:val="22"/>
        </w:rPr>
      </w:pPr>
      <w:r w:rsidRPr="00F21BB2">
        <w:rPr>
          <w:sz w:val="22"/>
          <w:szCs w:val="22"/>
        </w:rPr>
        <w:t>Deliberate and make recommendations on issues that affect the economic efficiency of electricity interconnections and electricity trade among members that fall outside national jurisdiction, and to exercise such powers as may be conferred on RERA through the SADC Energy Protocol.</w:t>
      </w:r>
    </w:p>
    <w:p w:rsidR="00FC4C38" w:rsidRDefault="00FC4C38" w:rsidP="00C008B5">
      <w:pPr>
        <w:spacing w:after="0"/>
        <w:rPr>
          <w:sz w:val="22"/>
          <w:szCs w:val="22"/>
        </w:rPr>
      </w:pPr>
    </w:p>
    <w:p w:rsidR="00F21BB2" w:rsidRPr="003D2D5A" w:rsidRDefault="00F21BB2" w:rsidP="00C008B5">
      <w:pPr>
        <w:spacing w:after="0"/>
        <w:rPr>
          <w:sz w:val="22"/>
          <w:szCs w:val="22"/>
        </w:rPr>
      </w:pPr>
      <w:r w:rsidRPr="00F21BB2">
        <w:rPr>
          <w:sz w:val="22"/>
          <w:szCs w:val="22"/>
        </w:rPr>
        <w:t>The Trade Hub is providing technical assistance to RERA to institutionalize a long term sustainable training program. The program will improve on RERA’s past approach to training, make training courses more predicable (announced in advance) for better planning by the members, and create a stable pool of experts accessible by RERA and member regulators on a as needed basis for regional and in-country regulatory trainings. In addition, the design of the program will be based on sustainability principles.</w:t>
      </w:r>
      <w:r w:rsidRPr="003D2D5A">
        <w:rPr>
          <w:sz w:val="22"/>
          <w:szCs w:val="22"/>
        </w:rPr>
        <w:t xml:space="preserve"> </w:t>
      </w:r>
    </w:p>
    <w:p w:rsidR="00FC4C38" w:rsidRDefault="00FC4C38" w:rsidP="00C008B5">
      <w:pPr>
        <w:spacing w:after="0"/>
        <w:rPr>
          <w:sz w:val="22"/>
          <w:szCs w:val="22"/>
        </w:rPr>
      </w:pPr>
    </w:p>
    <w:p w:rsidR="0095765D" w:rsidRPr="00F21BB2" w:rsidRDefault="00F21BB2" w:rsidP="00C008B5">
      <w:pPr>
        <w:spacing w:after="0"/>
        <w:rPr>
          <w:sz w:val="22"/>
          <w:szCs w:val="22"/>
        </w:rPr>
      </w:pPr>
      <w:r>
        <w:rPr>
          <w:sz w:val="22"/>
          <w:szCs w:val="22"/>
        </w:rPr>
        <w:t xml:space="preserve">As a first phase of this effort, the Trade Hub assisted RERA in updating its standard Capacity Needs Survey. </w:t>
      </w:r>
      <w:r w:rsidR="0095765D" w:rsidRPr="00F21BB2">
        <w:rPr>
          <w:sz w:val="22"/>
          <w:szCs w:val="22"/>
        </w:rPr>
        <w:t>Given this context RERA members are obliged to collect and submit survey data to help achieve the SADC Ministers objectives.</w:t>
      </w:r>
      <w:r w:rsidRPr="00F21BB2">
        <w:rPr>
          <w:sz w:val="22"/>
          <w:szCs w:val="22"/>
        </w:rPr>
        <w:t xml:space="preserve"> This Capacity Needs Assessment Report is based on the RERA Members’ responses to the new Capacity Needs Survey.</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5" w:name="_Toc404780577"/>
      <w:bookmarkStart w:id="6" w:name="_Toc405470970"/>
      <w:r w:rsidRPr="00FE62A8">
        <w:rPr>
          <w:lang w:val="en-GB"/>
        </w:rPr>
        <w:t>Survey Objective</w:t>
      </w:r>
      <w:bookmarkEnd w:id="5"/>
      <w:bookmarkEnd w:id="6"/>
    </w:p>
    <w:p w:rsidR="00FD729C" w:rsidRPr="00FD729C" w:rsidRDefault="00FD729C" w:rsidP="00FD729C">
      <w:pPr>
        <w:rPr>
          <w:sz w:val="22"/>
          <w:szCs w:val="22"/>
          <w:lang w:val="en-GB"/>
        </w:rPr>
      </w:pPr>
      <w:r w:rsidRPr="00FD729C">
        <w:rPr>
          <w:sz w:val="22"/>
          <w:szCs w:val="22"/>
          <w:lang w:val="en-GB"/>
        </w:rPr>
        <w:t>The goal of this activity is to establish a regional platform for sustainable long-term capacity building for RERA’s regulatory agencies board members, commissioners, and other technical and support staff.</w:t>
      </w:r>
    </w:p>
    <w:p w:rsidR="00C008B5" w:rsidRDefault="0095765D" w:rsidP="0095765D">
      <w:pPr>
        <w:spacing w:before="240"/>
        <w:rPr>
          <w:sz w:val="22"/>
          <w:szCs w:val="22"/>
          <w:lang w:val="en-GB"/>
        </w:rPr>
      </w:pPr>
      <w:r w:rsidRPr="00CB38D4">
        <w:rPr>
          <w:sz w:val="22"/>
          <w:szCs w:val="22"/>
          <w:lang w:val="en-GB"/>
        </w:rPr>
        <w:t xml:space="preserve">Specifically, this survey is the cornerstone of a needs assessment, which is ultimately geared towards </w:t>
      </w:r>
      <w:r w:rsidR="00C008B5">
        <w:rPr>
          <w:sz w:val="22"/>
          <w:szCs w:val="22"/>
          <w:lang w:val="en-GB"/>
        </w:rPr>
        <w:t>designing a focused training program curriculum that would allow RERA to consistently address various training needs of its Members, ranging from core competencies to evolving regulatory issues.</w:t>
      </w:r>
    </w:p>
    <w:p w:rsidR="0095765D" w:rsidRDefault="0095765D" w:rsidP="0095765D">
      <w:pPr>
        <w:rPr>
          <w:sz w:val="22"/>
          <w:szCs w:val="22"/>
          <w:lang w:val="en-GB"/>
        </w:rPr>
      </w:pPr>
      <w:r w:rsidRPr="00CB38D4">
        <w:rPr>
          <w:sz w:val="22"/>
          <w:szCs w:val="22"/>
          <w:lang w:val="en-GB"/>
        </w:rPr>
        <w:lastRenderedPageBreak/>
        <w:t xml:space="preserve">There is significant global change in the skills requirements of energy regulators as markets evolve and renewable energy becomes ubiquitous. Additionally, the Commissioners change frequently, new regulators are being established, and newly established regulators are expanding. The capacity of the Boards, Commissioners, and other technical and support staff of the regulatory agencies to apply best practices are crucial for efficient and consistent formulation of energy policy direction, regulation, and management. In addition, the accelerated evolution and development of renewable energy markets, distributed generation, increased demand-side participation and smart grids, amongst other factors, also serve raise the importance of training, skills development, capacity building and information sharing as a continuous activity for RERA members.  </w:t>
      </w:r>
    </w:p>
    <w:p w:rsidR="0095765D" w:rsidRPr="00FE62A8"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7" w:name="_Toc404780578"/>
      <w:bookmarkStart w:id="8" w:name="_Toc405470971"/>
      <w:r w:rsidRPr="00FE62A8">
        <w:rPr>
          <w:lang w:val="en-GB"/>
        </w:rPr>
        <w:t>Survey Process</w:t>
      </w:r>
      <w:bookmarkEnd w:id="7"/>
      <w:bookmarkEnd w:id="8"/>
    </w:p>
    <w:p w:rsidR="0095765D" w:rsidRPr="00CB38D4" w:rsidRDefault="00CB38D4" w:rsidP="0095765D">
      <w:pPr>
        <w:rPr>
          <w:sz w:val="22"/>
          <w:szCs w:val="22"/>
          <w:lang w:val="en-GB"/>
        </w:rPr>
      </w:pPr>
      <w:r w:rsidRPr="00CB38D4">
        <w:rPr>
          <w:sz w:val="22"/>
          <w:szCs w:val="22"/>
          <w:lang w:val="en-GB"/>
        </w:rPr>
        <w:t>The survey</w:t>
      </w:r>
      <w:r w:rsidR="0095765D" w:rsidRPr="00CB38D4">
        <w:rPr>
          <w:sz w:val="22"/>
          <w:szCs w:val="22"/>
          <w:lang w:val="en-GB"/>
        </w:rPr>
        <w:t xml:space="preserve"> questionnaire was developed as a basis for surveying and assessing the capacity, capabilities, skills and training needs to equip regulators to carry out their expanding and increasingly complex roles and growing mandates.</w:t>
      </w:r>
      <w:r>
        <w:rPr>
          <w:sz w:val="22"/>
          <w:szCs w:val="22"/>
          <w:lang w:val="en-GB"/>
        </w:rPr>
        <w:t xml:space="preserve"> The survey replaced the old RERA’s survey of 2011.</w:t>
      </w:r>
    </w:p>
    <w:p w:rsidR="00CB38D4" w:rsidRDefault="0095765D" w:rsidP="0095765D">
      <w:pPr>
        <w:rPr>
          <w:sz w:val="22"/>
          <w:szCs w:val="22"/>
          <w:lang w:val="en-GB"/>
        </w:rPr>
      </w:pPr>
      <w:r w:rsidRPr="00CB38D4">
        <w:rPr>
          <w:sz w:val="22"/>
          <w:szCs w:val="22"/>
          <w:lang w:val="en-GB"/>
        </w:rPr>
        <w:t>The questionnaire was developed in MSWord and distributed to the RERA members, who returned the completed surveys via email, to USAID Southern African Trade Hub – the organisation tasked with developing, managing and reporting on the project. Once the completed questionnaires were received, the results were entered into a MS Excel workbook, designed to tabulate and display the results.</w:t>
      </w:r>
      <w:r w:rsidR="00CB38D4">
        <w:rPr>
          <w:sz w:val="22"/>
          <w:szCs w:val="22"/>
          <w:lang w:val="en-GB"/>
        </w:rPr>
        <w:t xml:space="preserve"> </w:t>
      </w:r>
    </w:p>
    <w:p w:rsidR="0095765D" w:rsidRDefault="0095765D" w:rsidP="0095765D">
      <w:pPr>
        <w:rPr>
          <w:sz w:val="22"/>
          <w:szCs w:val="22"/>
          <w:lang w:val="en-GB"/>
        </w:rPr>
      </w:pPr>
      <w:r w:rsidRPr="00CB38D4">
        <w:rPr>
          <w:sz w:val="22"/>
          <w:szCs w:val="22"/>
          <w:lang w:val="en-GB"/>
        </w:rPr>
        <w:t xml:space="preserve">In conducting the assessment, respondents representing the key functional areas within each regulator were requested to fill in as much of the survey as possible.  </w:t>
      </w:r>
    </w:p>
    <w:p w:rsidR="00CB38D4" w:rsidRDefault="00CB38D4" w:rsidP="00CB38D4">
      <w:pPr>
        <w:rPr>
          <w:sz w:val="22"/>
          <w:szCs w:val="22"/>
          <w:lang w:val="en-GB"/>
        </w:rPr>
      </w:pPr>
      <w:r>
        <w:rPr>
          <w:sz w:val="22"/>
          <w:szCs w:val="22"/>
          <w:lang w:val="en-GB"/>
        </w:rPr>
        <w:t>The interim results of the survey were reported at RERA’s meeting of Human Resources representatives as part of the RERA Portfolio Committee on Capacity Building and Information Sharing work.</w:t>
      </w:r>
    </w:p>
    <w:p w:rsidR="0095765D" w:rsidRPr="00FE62A8"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9" w:name="_Toc404780579"/>
      <w:bookmarkStart w:id="10" w:name="_Toc405470972"/>
      <w:r w:rsidRPr="00FE62A8">
        <w:rPr>
          <w:lang w:val="en-GB"/>
        </w:rPr>
        <w:t xml:space="preserve">Survey </w:t>
      </w:r>
      <w:r>
        <w:rPr>
          <w:lang w:val="en-GB"/>
        </w:rPr>
        <w:t xml:space="preserve">Responses, </w:t>
      </w:r>
      <w:r w:rsidRPr="00FE62A8">
        <w:rPr>
          <w:lang w:val="en-GB"/>
        </w:rPr>
        <w:t>Structure</w:t>
      </w:r>
      <w:r>
        <w:rPr>
          <w:lang w:val="en-GB"/>
        </w:rPr>
        <w:t xml:space="preserve"> &amp; Methodology</w:t>
      </w:r>
      <w:bookmarkEnd w:id="9"/>
      <w:bookmarkEnd w:id="10"/>
    </w:p>
    <w:p w:rsidR="0095765D" w:rsidRDefault="0095765D" w:rsidP="0095765D">
      <w:pPr>
        <w:rPr>
          <w:sz w:val="22"/>
          <w:szCs w:val="22"/>
          <w:lang w:val="en-GB"/>
        </w:rPr>
      </w:pPr>
      <w:r w:rsidRPr="00CB38D4">
        <w:rPr>
          <w:sz w:val="22"/>
          <w:szCs w:val="22"/>
          <w:lang w:val="en-GB"/>
        </w:rPr>
        <w:t>The survey was distributed to all RERA members and was completed by 100% of participants</w:t>
      </w:r>
      <w:r w:rsidR="00CB38D4">
        <w:rPr>
          <w:sz w:val="22"/>
          <w:szCs w:val="22"/>
          <w:lang w:val="en-GB"/>
        </w:rPr>
        <w:t>, i.e. by 10 current RERA’s Member Regulators</w:t>
      </w:r>
      <w:r w:rsidRPr="00CB38D4">
        <w:rPr>
          <w:sz w:val="22"/>
          <w:szCs w:val="22"/>
          <w:lang w:val="en-GB"/>
        </w:rPr>
        <w:t xml:space="preserve">. The survey can therefore be said to be fully representative with no issues of bias, undercoverage or non-response. </w:t>
      </w:r>
    </w:p>
    <w:p w:rsidR="00FC4C38" w:rsidRPr="00CB38D4" w:rsidRDefault="00FC4C38" w:rsidP="00C008B5">
      <w:pPr>
        <w:pStyle w:val="Caption"/>
        <w:jc w:val="center"/>
        <w:rPr>
          <w:sz w:val="22"/>
          <w:szCs w:val="22"/>
          <w:lang w:val="en-GB"/>
        </w:rPr>
      </w:pPr>
      <w:bookmarkStart w:id="11" w:name="_Toc404780524"/>
      <w:r w:rsidRPr="00CB38D4">
        <w:rPr>
          <w:rFonts w:ascii="Arial" w:hAnsi="Arial" w:cs="Arial"/>
          <w:color w:val="auto"/>
        </w:rPr>
        <w:t xml:space="preserve">Figure </w:t>
      </w:r>
      <w:r w:rsidRPr="00CB38D4">
        <w:rPr>
          <w:rFonts w:ascii="Arial" w:hAnsi="Arial" w:cs="Arial"/>
          <w:color w:val="auto"/>
        </w:rPr>
        <w:fldChar w:fldCharType="begin"/>
      </w:r>
      <w:r w:rsidRPr="00CB38D4">
        <w:rPr>
          <w:rFonts w:ascii="Arial" w:hAnsi="Arial" w:cs="Arial"/>
          <w:color w:val="auto"/>
        </w:rPr>
        <w:instrText xml:space="preserve"> SEQ Figure \* ARABIC </w:instrText>
      </w:r>
      <w:r w:rsidRPr="00CB38D4">
        <w:rPr>
          <w:rFonts w:ascii="Arial" w:hAnsi="Arial" w:cs="Arial"/>
          <w:color w:val="auto"/>
        </w:rPr>
        <w:fldChar w:fldCharType="separate"/>
      </w:r>
      <w:r w:rsidRPr="00CB38D4">
        <w:rPr>
          <w:rFonts w:ascii="Arial" w:hAnsi="Arial" w:cs="Arial"/>
          <w:noProof/>
          <w:color w:val="auto"/>
        </w:rPr>
        <w:t>1</w:t>
      </w:r>
      <w:r w:rsidRPr="00CB38D4">
        <w:rPr>
          <w:rFonts w:ascii="Arial" w:hAnsi="Arial" w:cs="Arial"/>
          <w:color w:val="auto"/>
        </w:rPr>
        <w:fldChar w:fldCharType="end"/>
      </w:r>
      <w:r w:rsidRPr="00CB38D4">
        <w:rPr>
          <w:rFonts w:ascii="Arial" w:hAnsi="Arial" w:cs="Arial"/>
          <w:color w:val="auto"/>
        </w:rPr>
        <w:t>: RERA training survey responses</w:t>
      </w:r>
      <w:bookmarkEnd w:id="11"/>
    </w:p>
    <w:p w:rsidR="0095765D" w:rsidRDefault="00F21BB2" w:rsidP="00C008B5">
      <w:pPr>
        <w:jc w:val="center"/>
        <w:rPr>
          <w:lang w:val="en-GB"/>
        </w:rPr>
      </w:pPr>
      <w:r>
        <w:rPr>
          <w:noProof/>
        </w:rPr>
        <w:drawing>
          <wp:inline distT="0" distB="0" distL="0" distR="0">
            <wp:extent cx="4541900" cy="272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6241" cy="2732751"/>
                    </a:xfrm>
                    <a:prstGeom prst="rect">
                      <a:avLst/>
                    </a:prstGeom>
                    <a:noFill/>
                  </pic:spPr>
                </pic:pic>
              </a:graphicData>
            </a:graphic>
          </wp:inline>
        </w:drawing>
      </w:r>
    </w:p>
    <w:p w:rsidR="0095765D" w:rsidRDefault="0095765D" w:rsidP="0095765D">
      <w:pPr>
        <w:rPr>
          <w:lang w:val="en-GB"/>
        </w:rPr>
      </w:pPr>
    </w:p>
    <w:p w:rsidR="0095765D" w:rsidRPr="00CB38D4" w:rsidRDefault="0095765D" w:rsidP="0095765D">
      <w:pPr>
        <w:rPr>
          <w:sz w:val="22"/>
          <w:szCs w:val="22"/>
          <w:lang w:val="en-GB"/>
        </w:rPr>
      </w:pPr>
      <w:r w:rsidRPr="00CB38D4">
        <w:rPr>
          <w:sz w:val="22"/>
          <w:szCs w:val="22"/>
          <w:lang w:val="en-GB"/>
        </w:rPr>
        <w:t>All of the respondents surveyed regulate the electricity sector, with some members also responsible for water, petroleum, gas and sewerage.</w:t>
      </w:r>
    </w:p>
    <w:p w:rsidR="0095765D" w:rsidRPr="00CB38D4" w:rsidRDefault="0095765D" w:rsidP="0095765D">
      <w:pPr>
        <w:pStyle w:val="Caption"/>
        <w:rPr>
          <w:rFonts w:ascii="Arial" w:hAnsi="Arial" w:cs="Arial"/>
          <w:color w:val="auto"/>
        </w:rPr>
      </w:pPr>
      <w:bookmarkStart w:id="12" w:name="_Toc404780525"/>
      <w:r w:rsidRPr="00CB38D4">
        <w:rPr>
          <w:rFonts w:ascii="Arial" w:hAnsi="Arial" w:cs="Arial"/>
          <w:color w:val="auto"/>
        </w:rPr>
        <w:t xml:space="preserve">Figure </w:t>
      </w:r>
      <w:r w:rsidRPr="00CB38D4">
        <w:rPr>
          <w:rFonts w:ascii="Arial" w:hAnsi="Arial" w:cs="Arial"/>
          <w:color w:val="auto"/>
        </w:rPr>
        <w:fldChar w:fldCharType="begin"/>
      </w:r>
      <w:r w:rsidRPr="00CB38D4">
        <w:rPr>
          <w:rFonts w:ascii="Arial" w:hAnsi="Arial" w:cs="Arial"/>
          <w:color w:val="auto"/>
        </w:rPr>
        <w:instrText xml:space="preserve"> SEQ Figure \* ARABIC </w:instrText>
      </w:r>
      <w:r w:rsidRPr="00CB38D4">
        <w:rPr>
          <w:rFonts w:ascii="Arial" w:hAnsi="Arial" w:cs="Arial"/>
          <w:color w:val="auto"/>
        </w:rPr>
        <w:fldChar w:fldCharType="separate"/>
      </w:r>
      <w:r w:rsidRPr="00CB38D4">
        <w:rPr>
          <w:rFonts w:ascii="Arial" w:hAnsi="Arial" w:cs="Arial"/>
          <w:color w:val="auto"/>
        </w:rPr>
        <w:t>2</w:t>
      </w:r>
      <w:r w:rsidRPr="00CB38D4">
        <w:rPr>
          <w:rFonts w:ascii="Arial" w:hAnsi="Arial" w:cs="Arial"/>
          <w:color w:val="auto"/>
        </w:rPr>
        <w:fldChar w:fldCharType="end"/>
      </w:r>
      <w:r w:rsidRPr="00CB38D4">
        <w:rPr>
          <w:rFonts w:ascii="Arial" w:hAnsi="Arial" w:cs="Arial"/>
          <w:color w:val="auto"/>
        </w:rPr>
        <w:t>: Sectors regulated</w:t>
      </w:r>
      <w:bookmarkEnd w:id="12"/>
    </w:p>
    <w:p w:rsidR="0095765D" w:rsidRDefault="0095765D" w:rsidP="0095765D">
      <w:pPr>
        <w:rPr>
          <w:lang w:val="en-GB"/>
        </w:rPr>
      </w:pPr>
      <w:r>
        <w:rPr>
          <w:noProof/>
        </w:rPr>
        <w:drawing>
          <wp:inline distT="0" distB="0" distL="0" distR="0" wp14:anchorId="5077950C" wp14:editId="169DCCF9">
            <wp:extent cx="583882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5560" cy="2755900"/>
                    </a:xfrm>
                    <a:prstGeom prst="rect">
                      <a:avLst/>
                    </a:prstGeom>
                    <a:noFill/>
                  </pic:spPr>
                </pic:pic>
              </a:graphicData>
            </a:graphic>
          </wp:inline>
        </w:drawing>
      </w:r>
    </w:p>
    <w:p w:rsidR="0095765D" w:rsidRPr="00CB38D4" w:rsidRDefault="0095765D" w:rsidP="0095765D">
      <w:pPr>
        <w:rPr>
          <w:sz w:val="22"/>
          <w:szCs w:val="22"/>
          <w:lang w:val="en-GB"/>
        </w:rPr>
      </w:pPr>
      <w:r w:rsidRPr="00CB38D4">
        <w:rPr>
          <w:sz w:val="22"/>
          <w:szCs w:val="22"/>
          <w:lang w:val="en-GB"/>
        </w:rPr>
        <w:t>The survey assessed the regulator’s skills across several topics including policy, economic, technical, legal, consumer, oversight/compliance and general management. As such, different sections of the survey may need to be completed by different departments or portfolios within the regulator</w:t>
      </w:r>
      <w:r w:rsidR="00CB38D4">
        <w:rPr>
          <w:sz w:val="22"/>
          <w:szCs w:val="22"/>
          <w:lang w:val="en-GB"/>
        </w:rPr>
        <w:t>.</w:t>
      </w:r>
    </w:p>
    <w:p w:rsidR="0095765D" w:rsidRPr="00CB38D4" w:rsidRDefault="0095765D" w:rsidP="0095765D">
      <w:pPr>
        <w:rPr>
          <w:sz w:val="22"/>
          <w:szCs w:val="22"/>
          <w:lang w:val="en-GB"/>
        </w:rPr>
      </w:pPr>
      <w:r w:rsidRPr="00CB38D4">
        <w:rPr>
          <w:sz w:val="22"/>
          <w:szCs w:val="22"/>
          <w:lang w:val="en-GB"/>
        </w:rPr>
        <w:t xml:space="preserve">The survey questionnaire was structured to provide an assessment of the </w:t>
      </w:r>
      <w:r w:rsidRPr="00CB38D4">
        <w:rPr>
          <w:b/>
          <w:i/>
          <w:sz w:val="22"/>
          <w:szCs w:val="22"/>
          <w:lang w:val="en-GB"/>
        </w:rPr>
        <w:t>traditional skills</w:t>
      </w:r>
      <w:r w:rsidRPr="00CB38D4">
        <w:rPr>
          <w:sz w:val="22"/>
          <w:szCs w:val="22"/>
          <w:lang w:val="en-GB"/>
        </w:rPr>
        <w:t xml:space="preserve"> and needs of an energy regulator, the </w:t>
      </w:r>
      <w:r w:rsidRPr="00CB38D4">
        <w:rPr>
          <w:b/>
          <w:i/>
          <w:sz w:val="22"/>
          <w:szCs w:val="22"/>
          <w:lang w:val="en-GB"/>
        </w:rPr>
        <w:t>evolving needs</w:t>
      </w:r>
      <w:r w:rsidRPr="00CB38D4">
        <w:rPr>
          <w:sz w:val="22"/>
          <w:szCs w:val="22"/>
          <w:lang w:val="en-GB"/>
        </w:rPr>
        <w:t xml:space="preserve"> due to emerging issues and changes in market structure and technology as well as areas representing regulatory </w:t>
      </w:r>
      <w:r w:rsidRPr="00CB38D4">
        <w:rPr>
          <w:b/>
          <w:i/>
          <w:sz w:val="22"/>
          <w:szCs w:val="22"/>
          <w:lang w:val="en-GB"/>
        </w:rPr>
        <w:t>core competencies</w:t>
      </w:r>
      <w:r w:rsidRPr="00CB38D4">
        <w:rPr>
          <w:sz w:val="22"/>
          <w:szCs w:val="22"/>
          <w:lang w:val="en-GB"/>
        </w:rPr>
        <w:t>.</w:t>
      </w:r>
    </w:p>
    <w:p w:rsidR="0095765D" w:rsidRPr="00CB38D4" w:rsidRDefault="0095765D" w:rsidP="0095765D">
      <w:pPr>
        <w:rPr>
          <w:sz w:val="22"/>
          <w:szCs w:val="22"/>
          <w:lang w:val="en-GB"/>
        </w:rPr>
      </w:pPr>
      <w:r w:rsidRPr="00CB38D4">
        <w:rPr>
          <w:sz w:val="22"/>
          <w:szCs w:val="22"/>
          <w:lang w:val="en-GB"/>
        </w:rPr>
        <w:t>This survey was designed as a “self-assessment” with questions structured using a “</w:t>
      </w:r>
      <w:r w:rsidRPr="00CB38D4">
        <w:rPr>
          <w:color w:val="252525"/>
          <w:sz w:val="22"/>
          <w:szCs w:val="22"/>
          <w:shd w:val="clear" w:color="auto" w:fill="FFFFFF"/>
        </w:rPr>
        <w:t>Likert-type” scaling - a bipolar</w:t>
      </w:r>
      <w:r w:rsidRPr="00CB38D4">
        <w:rPr>
          <w:rStyle w:val="apple-converted-space"/>
          <w:color w:val="252525"/>
          <w:sz w:val="22"/>
          <w:szCs w:val="22"/>
          <w:shd w:val="clear" w:color="auto" w:fill="FFFFFF"/>
        </w:rPr>
        <w:t> </w:t>
      </w:r>
      <w:r w:rsidRPr="00CB38D4">
        <w:rPr>
          <w:sz w:val="22"/>
          <w:szCs w:val="22"/>
          <w:shd w:val="clear" w:color="auto" w:fill="FFFFFF"/>
        </w:rPr>
        <w:t>scaling method</w:t>
      </w:r>
      <w:r w:rsidRPr="00CB38D4">
        <w:rPr>
          <w:color w:val="252525"/>
          <w:sz w:val="22"/>
          <w:szCs w:val="22"/>
          <w:shd w:val="clear" w:color="auto" w:fill="FFFFFF"/>
        </w:rPr>
        <w:t>, measuring either positive or negative response to a statement. In this case the respondents were asked to rate their ability along the areas mentioned above.</w:t>
      </w:r>
    </w:p>
    <w:p w:rsidR="0095765D" w:rsidRPr="00CB38D4" w:rsidRDefault="0095765D" w:rsidP="0095765D">
      <w:pPr>
        <w:rPr>
          <w:sz w:val="22"/>
          <w:szCs w:val="22"/>
          <w:lang w:val="en-GB"/>
        </w:rPr>
      </w:pPr>
      <w:r w:rsidRPr="00CB38D4">
        <w:rPr>
          <w:sz w:val="22"/>
          <w:szCs w:val="22"/>
          <w:lang w:val="en-GB"/>
        </w:rPr>
        <w:t>Whilst it is clear that each respondents response is relative, the survey is intended to identify common areas that require training by grouping responses and interrogating the overall group response.</w:t>
      </w:r>
    </w:p>
    <w:p w:rsidR="0095765D" w:rsidRPr="00CB38D4" w:rsidRDefault="0095765D" w:rsidP="0095765D">
      <w:pPr>
        <w:rPr>
          <w:sz w:val="22"/>
          <w:szCs w:val="22"/>
          <w:lang w:val="en-GB"/>
        </w:rPr>
      </w:pPr>
      <w:r w:rsidRPr="00CB38D4">
        <w:rPr>
          <w:sz w:val="22"/>
          <w:szCs w:val="22"/>
          <w:lang w:val="en-GB"/>
        </w:rPr>
        <w:t>All survey responses are confidential and the results are all aggregated.</w:t>
      </w:r>
    </w:p>
    <w:p w:rsidR="0095765D" w:rsidRPr="00CB38D4" w:rsidRDefault="0095765D" w:rsidP="0095765D">
      <w:pPr>
        <w:spacing w:after="0"/>
        <w:rPr>
          <w:sz w:val="22"/>
          <w:szCs w:val="22"/>
          <w:lang w:val="en-GB"/>
        </w:rPr>
      </w:pPr>
      <w:r w:rsidRPr="00CB38D4">
        <w:rPr>
          <w:sz w:val="22"/>
          <w:szCs w:val="22"/>
          <w:lang w:val="en-GB"/>
        </w:rPr>
        <w:br w:type="page"/>
      </w:r>
    </w:p>
    <w:p w:rsidR="0095765D" w:rsidRPr="00CB38D4" w:rsidRDefault="0095765D" w:rsidP="00B86181">
      <w:pPr>
        <w:pStyle w:val="Heading2"/>
        <w:numPr>
          <w:ilvl w:val="0"/>
          <w:numId w:val="2"/>
        </w:numPr>
      </w:pPr>
      <w:bookmarkStart w:id="13" w:name="_Toc404780580"/>
      <w:bookmarkStart w:id="14" w:name="_Toc405470973"/>
      <w:r w:rsidRPr="00CB38D4">
        <w:lastRenderedPageBreak/>
        <w:t>Current Capacity &amp; Training Requirements</w:t>
      </w:r>
      <w:bookmarkEnd w:id="13"/>
      <w:bookmarkEnd w:id="14"/>
    </w:p>
    <w:p w:rsidR="0095765D" w:rsidRPr="00CB38D4" w:rsidRDefault="0095765D" w:rsidP="0095765D">
      <w:pPr>
        <w:spacing w:after="0"/>
        <w:rPr>
          <w:sz w:val="22"/>
          <w:szCs w:val="22"/>
          <w:lang w:val="en-GB"/>
        </w:rPr>
      </w:pPr>
      <w:r w:rsidRPr="00CB38D4">
        <w:rPr>
          <w:sz w:val="22"/>
          <w:szCs w:val="22"/>
          <w:lang w:val="en-GB"/>
        </w:rPr>
        <w:t>The first portion of the survey was designed to investigate the current status of capacitation within the members, as well as asking for preferred training methods as a means of informing the design of future training programs.</w:t>
      </w:r>
    </w:p>
    <w:p w:rsidR="0095765D" w:rsidRDefault="0095765D" w:rsidP="0095765D">
      <w:pPr>
        <w:spacing w:after="0"/>
        <w:rPr>
          <w:lang w:val="en-GB"/>
        </w:rPr>
      </w:pPr>
    </w:p>
    <w:p w:rsidR="0095765D" w:rsidRPr="00CB38D4" w:rsidRDefault="0095765D" w:rsidP="00CB38D4">
      <w:pPr>
        <w:pStyle w:val="Caption"/>
        <w:rPr>
          <w:rFonts w:ascii="Arial" w:hAnsi="Arial" w:cs="Arial"/>
          <w:color w:val="auto"/>
        </w:rPr>
      </w:pPr>
      <w:bookmarkStart w:id="15" w:name="_Toc404780526"/>
      <w:r w:rsidRPr="00CB38D4">
        <w:rPr>
          <w:rFonts w:ascii="Arial" w:hAnsi="Arial" w:cs="Arial"/>
          <w:color w:val="auto"/>
        </w:rPr>
        <w:t xml:space="preserve">Figure </w:t>
      </w:r>
      <w:r w:rsidRPr="00CB38D4">
        <w:rPr>
          <w:rFonts w:ascii="Arial" w:hAnsi="Arial" w:cs="Arial"/>
          <w:color w:val="auto"/>
        </w:rPr>
        <w:fldChar w:fldCharType="begin"/>
      </w:r>
      <w:r w:rsidRPr="00CB38D4">
        <w:rPr>
          <w:rFonts w:ascii="Arial" w:hAnsi="Arial" w:cs="Arial"/>
          <w:color w:val="auto"/>
        </w:rPr>
        <w:instrText xml:space="preserve"> SEQ Figure \* ARABIC </w:instrText>
      </w:r>
      <w:r w:rsidRPr="00CB38D4">
        <w:rPr>
          <w:rFonts w:ascii="Arial" w:hAnsi="Arial" w:cs="Arial"/>
          <w:color w:val="auto"/>
        </w:rPr>
        <w:fldChar w:fldCharType="separate"/>
      </w:r>
      <w:r w:rsidRPr="00CB38D4">
        <w:rPr>
          <w:rFonts w:ascii="Arial" w:hAnsi="Arial" w:cs="Arial"/>
          <w:color w:val="auto"/>
        </w:rPr>
        <w:t>3</w:t>
      </w:r>
      <w:r w:rsidRPr="00CB38D4">
        <w:rPr>
          <w:rFonts w:ascii="Arial" w:hAnsi="Arial" w:cs="Arial"/>
          <w:color w:val="auto"/>
        </w:rPr>
        <w:fldChar w:fldCharType="end"/>
      </w:r>
      <w:r w:rsidRPr="00CB38D4">
        <w:rPr>
          <w:rFonts w:ascii="Arial" w:hAnsi="Arial" w:cs="Arial"/>
          <w:color w:val="auto"/>
        </w:rPr>
        <w:t>: Staff distribution by gender and focus</w:t>
      </w:r>
      <w:bookmarkEnd w:id="15"/>
    </w:p>
    <w:p w:rsidR="0095765D" w:rsidRDefault="0095765D" w:rsidP="0095765D">
      <w:pPr>
        <w:spacing w:before="240"/>
        <w:rPr>
          <w:lang w:val="en-GB"/>
        </w:rPr>
      </w:pPr>
      <w:r>
        <w:rPr>
          <w:noProof/>
        </w:rPr>
        <w:drawing>
          <wp:inline distT="0" distB="0" distL="0" distR="0" wp14:anchorId="703FB8F7" wp14:editId="57A7CE25">
            <wp:extent cx="6076950" cy="256617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023" cy="2566204"/>
                    </a:xfrm>
                    <a:prstGeom prst="rect">
                      <a:avLst/>
                    </a:prstGeom>
                    <a:noFill/>
                  </pic:spPr>
                </pic:pic>
              </a:graphicData>
            </a:graphic>
          </wp:inline>
        </w:drawing>
      </w:r>
    </w:p>
    <w:p w:rsidR="0095765D" w:rsidRDefault="0095765D" w:rsidP="0095765D">
      <w:pPr>
        <w:spacing w:after="0"/>
        <w:rPr>
          <w:lang w:val="en-GB"/>
        </w:rPr>
      </w:pPr>
    </w:p>
    <w:p w:rsidR="0095765D" w:rsidRDefault="0095765D" w:rsidP="0095765D">
      <w:pPr>
        <w:spacing w:after="0"/>
        <w:rPr>
          <w:lang w:val="en-GB"/>
        </w:rPr>
      </w:pPr>
    </w:p>
    <w:p w:rsidR="0095765D" w:rsidRPr="00CD2A42" w:rsidRDefault="0095765D" w:rsidP="0095765D">
      <w:pPr>
        <w:spacing w:after="0"/>
        <w:rPr>
          <w:sz w:val="22"/>
          <w:szCs w:val="22"/>
          <w:lang w:val="en-GB"/>
        </w:rPr>
      </w:pPr>
      <w:r w:rsidRPr="00CD2A42">
        <w:rPr>
          <w:sz w:val="22"/>
          <w:szCs w:val="22"/>
          <w:lang w:val="en-GB"/>
        </w:rPr>
        <w:t>It is clear that there are some disparities in certain areas between male and female staff members. Of total staff in the respondents, 343 (60%) were male and 224 (40%) were female. There are also 109 vacant positions waiting to be filled amongst the RERA members.</w:t>
      </w:r>
    </w:p>
    <w:p w:rsidR="0095765D" w:rsidRDefault="0095765D" w:rsidP="0095765D">
      <w:pPr>
        <w:spacing w:after="0"/>
        <w:rPr>
          <w:lang w:val="en-GB"/>
        </w:rPr>
      </w:pPr>
    </w:p>
    <w:p w:rsidR="0095765D" w:rsidRPr="00CD2A42" w:rsidRDefault="0095765D" w:rsidP="00C008B5">
      <w:pPr>
        <w:pStyle w:val="Caption"/>
        <w:jc w:val="center"/>
        <w:rPr>
          <w:rFonts w:ascii="Arial" w:hAnsi="Arial" w:cs="Arial"/>
          <w:color w:val="auto"/>
        </w:rPr>
      </w:pPr>
      <w:bookmarkStart w:id="16" w:name="_Toc404780527"/>
      <w:r w:rsidRPr="00CD2A42">
        <w:rPr>
          <w:rFonts w:ascii="Arial" w:hAnsi="Arial" w:cs="Arial"/>
          <w:color w:val="auto"/>
        </w:rPr>
        <w:t xml:space="preserve">Figure </w:t>
      </w:r>
      <w:r w:rsidRPr="00CD2A42">
        <w:rPr>
          <w:rFonts w:ascii="Arial" w:hAnsi="Arial" w:cs="Arial"/>
          <w:color w:val="auto"/>
        </w:rPr>
        <w:fldChar w:fldCharType="begin"/>
      </w:r>
      <w:r w:rsidRPr="00CD2A42">
        <w:rPr>
          <w:rFonts w:ascii="Arial" w:hAnsi="Arial" w:cs="Arial"/>
          <w:color w:val="auto"/>
        </w:rPr>
        <w:instrText xml:space="preserve"> SEQ Figure \* ARABIC </w:instrText>
      </w:r>
      <w:r w:rsidRPr="00CD2A42">
        <w:rPr>
          <w:rFonts w:ascii="Arial" w:hAnsi="Arial" w:cs="Arial"/>
          <w:color w:val="auto"/>
        </w:rPr>
        <w:fldChar w:fldCharType="separate"/>
      </w:r>
      <w:r w:rsidRPr="00CD2A42">
        <w:rPr>
          <w:rFonts w:ascii="Arial" w:hAnsi="Arial" w:cs="Arial"/>
          <w:color w:val="auto"/>
        </w:rPr>
        <w:t>4</w:t>
      </w:r>
      <w:r w:rsidRPr="00CD2A42">
        <w:rPr>
          <w:rFonts w:ascii="Arial" w:hAnsi="Arial" w:cs="Arial"/>
          <w:color w:val="auto"/>
        </w:rPr>
        <w:fldChar w:fldCharType="end"/>
      </w:r>
      <w:r w:rsidRPr="00CD2A42">
        <w:rPr>
          <w:rFonts w:ascii="Arial" w:hAnsi="Arial" w:cs="Arial"/>
          <w:color w:val="auto"/>
        </w:rPr>
        <w:t>: Vacant positions by area</w:t>
      </w:r>
      <w:bookmarkEnd w:id="16"/>
    </w:p>
    <w:p w:rsidR="0095765D" w:rsidRDefault="0095765D" w:rsidP="00C008B5">
      <w:pPr>
        <w:spacing w:before="240"/>
        <w:jc w:val="center"/>
        <w:rPr>
          <w:lang w:val="en-GB"/>
        </w:rPr>
      </w:pPr>
      <w:r>
        <w:rPr>
          <w:noProof/>
        </w:rPr>
        <w:drawing>
          <wp:inline distT="0" distB="0" distL="0" distR="0" wp14:anchorId="1BDF1736" wp14:editId="588A3BBF">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5765D" w:rsidRDefault="0095765D" w:rsidP="0095765D">
      <w:pPr>
        <w:spacing w:after="0"/>
        <w:rPr>
          <w:lang w:val="en-GB"/>
        </w:rPr>
      </w:pPr>
    </w:p>
    <w:p w:rsidR="0095765D" w:rsidRDefault="0095765D" w:rsidP="0095765D">
      <w:pPr>
        <w:spacing w:after="0"/>
        <w:rPr>
          <w:lang w:val="en-GB"/>
        </w:rPr>
      </w:pPr>
    </w:p>
    <w:p w:rsidR="0095765D" w:rsidRPr="00CD2A42" w:rsidRDefault="0095765D" w:rsidP="0095765D">
      <w:pPr>
        <w:rPr>
          <w:sz w:val="22"/>
          <w:szCs w:val="22"/>
          <w:lang w:val="en-GB"/>
        </w:rPr>
      </w:pPr>
      <w:r w:rsidRPr="00CD2A42">
        <w:rPr>
          <w:sz w:val="22"/>
          <w:szCs w:val="22"/>
          <w:lang w:val="en-GB"/>
        </w:rPr>
        <w:t>The majority of non-support staff vacancies were in the Technical and Legal areas, with a spread of other areas also requiring further capacitation.</w:t>
      </w:r>
    </w:p>
    <w:p w:rsidR="0095765D" w:rsidRPr="002D6D71" w:rsidRDefault="0095765D" w:rsidP="00C008B5">
      <w:pPr>
        <w:pStyle w:val="Caption"/>
        <w:jc w:val="center"/>
        <w:rPr>
          <w:rFonts w:ascii="Arial" w:hAnsi="Arial" w:cs="Arial"/>
          <w:color w:val="auto"/>
        </w:rPr>
      </w:pPr>
      <w:bookmarkStart w:id="17" w:name="_Toc404780528"/>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5</w:t>
      </w:r>
      <w:r w:rsidRPr="002D6D71">
        <w:rPr>
          <w:rFonts w:ascii="Arial" w:hAnsi="Arial" w:cs="Arial"/>
          <w:color w:val="auto"/>
        </w:rPr>
        <w:fldChar w:fldCharType="end"/>
      </w:r>
      <w:r w:rsidRPr="002D6D71">
        <w:rPr>
          <w:rFonts w:ascii="Arial" w:hAnsi="Arial" w:cs="Arial"/>
          <w:color w:val="auto"/>
        </w:rPr>
        <w:t>: staffing adequacy</w:t>
      </w:r>
      <w:bookmarkEnd w:id="17"/>
    </w:p>
    <w:p w:rsidR="0095765D" w:rsidRDefault="0095765D" w:rsidP="00C008B5">
      <w:pPr>
        <w:spacing w:after="0"/>
        <w:jc w:val="center"/>
        <w:rPr>
          <w:lang w:val="en-GB"/>
        </w:rPr>
      </w:pPr>
      <w:r>
        <w:rPr>
          <w:noProof/>
        </w:rPr>
        <w:drawing>
          <wp:inline distT="0" distB="0" distL="0" distR="0" wp14:anchorId="4A22F304" wp14:editId="39D1B81F">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5765D" w:rsidRDefault="0095765D" w:rsidP="0095765D">
      <w:pPr>
        <w:spacing w:after="0"/>
        <w:rPr>
          <w:lang w:val="en-GB"/>
        </w:rPr>
      </w:pPr>
    </w:p>
    <w:p w:rsidR="0095765D" w:rsidRDefault="0095765D" w:rsidP="0095765D">
      <w:pPr>
        <w:rPr>
          <w:sz w:val="22"/>
          <w:szCs w:val="22"/>
          <w:lang w:val="en-GB"/>
        </w:rPr>
      </w:pPr>
      <w:r w:rsidRPr="002D6D71">
        <w:rPr>
          <w:sz w:val="22"/>
          <w:szCs w:val="22"/>
          <w:lang w:val="en-GB"/>
        </w:rPr>
        <w:t>This is further supported by the overwhelming majority of respondents that felt their regulator was understaffed. Critical staffing requirements exist across several vital functions – this is one of the key themes that emerge from the survey responses: there currently exists a wide disparity between both skills and areas of expertise in most of the respondents. There are few areas that stand out as not requiring some form of training or support in the future.</w:t>
      </w:r>
    </w:p>
    <w:p w:rsidR="0095765D" w:rsidRPr="002D6D71" w:rsidRDefault="0095765D" w:rsidP="00C008B5">
      <w:pPr>
        <w:pStyle w:val="Caption"/>
        <w:jc w:val="center"/>
        <w:rPr>
          <w:rFonts w:ascii="Arial" w:hAnsi="Arial" w:cs="Arial"/>
          <w:color w:val="auto"/>
        </w:rPr>
      </w:pPr>
      <w:bookmarkStart w:id="18" w:name="_Toc404780529"/>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6</w:t>
      </w:r>
      <w:r w:rsidRPr="002D6D71">
        <w:rPr>
          <w:rFonts w:ascii="Arial" w:hAnsi="Arial" w:cs="Arial"/>
          <w:color w:val="auto"/>
        </w:rPr>
        <w:fldChar w:fldCharType="end"/>
      </w:r>
      <w:r w:rsidRPr="002D6D71">
        <w:rPr>
          <w:rFonts w:ascii="Arial" w:hAnsi="Arial" w:cs="Arial"/>
          <w:color w:val="auto"/>
        </w:rPr>
        <w:t>: Critical staffing requirements</w:t>
      </w:r>
      <w:bookmarkEnd w:id="18"/>
    </w:p>
    <w:p w:rsidR="0095765D" w:rsidRDefault="0095765D" w:rsidP="00C008B5">
      <w:pPr>
        <w:spacing w:after="0"/>
        <w:jc w:val="center"/>
        <w:rPr>
          <w:lang w:val="en-GB"/>
        </w:rPr>
      </w:pPr>
      <w:r>
        <w:rPr>
          <w:noProof/>
        </w:rPr>
        <w:drawing>
          <wp:inline distT="0" distB="0" distL="0" distR="0" wp14:anchorId="3D9144AB" wp14:editId="090431EF">
            <wp:extent cx="4658647" cy="28003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4020" cy="2803580"/>
                    </a:xfrm>
                    <a:prstGeom prst="rect">
                      <a:avLst/>
                    </a:prstGeom>
                    <a:noFill/>
                  </pic:spPr>
                </pic:pic>
              </a:graphicData>
            </a:graphic>
          </wp:inline>
        </w:drawing>
      </w:r>
    </w:p>
    <w:p w:rsidR="0095765D" w:rsidRDefault="0095765D" w:rsidP="0095765D">
      <w:pPr>
        <w:spacing w:after="0"/>
        <w:rPr>
          <w:lang w:val="en-GB"/>
        </w:rPr>
      </w:pPr>
    </w:p>
    <w:p w:rsidR="0095765D" w:rsidRPr="002D6D71" w:rsidRDefault="0095765D" w:rsidP="0095765D">
      <w:pPr>
        <w:rPr>
          <w:sz w:val="22"/>
          <w:szCs w:val="22"/>
          <w:lang w:val="en-GB"/>
        </w:rPr>
      </w:pPr>
      <w:r w:rsidRPr="002D6D71">
        <w:rPr>
          <w:sz w:val="22"/>
          <w:szCs w:val="22"/>
          <w:lang w:val="en-GB"/>
        </w:rPr>
        <w:t xml:space="preserve">Respondents were immediately asked to indicate where they felt further training was required before the survey tested this in detail. The response depicted a wide variety of areas that needed further training – this is once again due to the wide range of skills levels and areas of expertise </w:t>
      </w:r>
      <w:r w:rsidRPr="002D6D71">
        <w:rPr>
          <w:sz w:val="22"/>
          <w:szCs w:val="22"/>
          <w:lang w:val="en-GB"/>
        </w:rPr>
        <w:lastRenderedPageBreak/>
        <w:t>amongst regulators, which is also supported by the ranges of responses in the detailed questions that follow.</w:t>
      </w:r>
    </w:p>
    <w:p w:rsidR="0095765D" w:rsidRPr="002D6D71" w:rsidRDefault="0095765D" w:rsidP="00C008B5">
      <w:pPr>
        <w:pStyle w:val="Caption"/>
        <w:jc w:val="center"/>
        <w:rPr>
          <w:rFonts w:ascii="Arial" w:hAnsi="Arial" w:cs="Arial"/>
          <w:color w:val="auto"/>
        </w:rPr>
      </w:pPr>
      <w:bookmarkStart w:id="19" w:name="_Toc404780530"/>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7</w:t>
      </w:r>
      <w:r w:rsidRPr="002D6D71">
        <w:rPr>
          <w:rFonts w:ascii="Arial" w:hAnsi="Arial" w:cs="Arial"/>
          <w:color w:val="auto"/>
        </w:rPr>
        <w:fldChar w:fldCharType="end"/>
      </w:r>
      <w:r w:rsidRPr="002D6D71">
        <w:rPr>
          <w:rFonts w:ascii="Arial" w:hAnsi="Arial" w:cs="Arial"/>
          <w:color w:val="auto"/>
        </w:rPr>
        <w:t>: Critical training requirements</w:t>
      </w:r>
      <w:bookmarkEnd w:id="19"/>
    </w:p>
    <w:p w:rsidR="0095765D" w:rsidRPr="002D6D71" w:rsidRDefault="0095765D" w:rsidP="00C008B5">
      <w:pPr>
        <w:jc w:val="center"/>
        <w:rPr>
          <w:sz w:val="22"/>
          <w:szCs w:val="22"/>
          <w:lang w:val="en-GB"/>
        </w:rPr>
      </w:pPr>
      <w:r w:rsidRPr="002D6D71">
        <w:rPr>
          <w:noProof/>
          <w:sz w:val="22"/>
          <w:szCs w:val="22"/>
        </w:rPr>
        <w:drawing>
          <wp:inline distT="0" distB="0" distL="0" distR="0" wp14:anchorId="19370AA0" wp14:editId="6F9F6028">
            <wp:extent cx="4948561" cy="2506133"/>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6175" cy="2509989"/>
                    </a:xfrm>
                    <a:prstGeom prst="rect">
                      <a:avLst/>
                    </a:prstGeom>
                    <a:noFill/>
                  </pic:spPr>
                </pic:pic>
              </a:graphicData>
            </a:graphic>
          </wp:inline>
        </w:drawing>
      </w:r>
    </w:p>
    <w:p w:rsidR="0095765D" w:rsidRPr="002D6D71" w:rsidRDefault="0095765D" w:rsidP="002D6D71">
      <w:pPr>
        <w:rPr>
          <w:sz w:val="22"/>
          <w:szCs w:val="22"/>
          <w:lang w:val="en-GB"/>
        </w:rPr>
      </w:pPr>
      <w:r w:rsidRPr="002D6D71">
        <w:rPr>
          <w:sz w:val="22"/>
          <w:szCs w:val="22"/>
          <w:lang w:val="en-GB"/>
        </w:rPr>
        <w:t>An increasing need for training was required for all areas, but Technical, Consumer and General Managerial training was highlighted. It is not clear what General Managerial training is required, as the respondents rated themselves as competent with regards to General Business, later on in the survey – this should be interrogated further with RERA members to gain clarity.</w:t>
      </w:r>
    </w:p>
    <w:p w:rsidR="0095765D" w:rsidRPr="002D6D71" w:rsidRDefault="0095765D" w:rsidP="00C008B5">
      <w:pPr>
        <w:pStyle w:val="Caption"/>
        <w:jc w:val="center"/>
        <w:rPr>
          <w:rFonts w:ascii="Arial" w:hAnsi="Arial" w:cs="Arial"/>
          <w:color w:val="auto"/>
        </w:rPr>
      </w:pPr>
      <w:bookmarkStart w:id="20" w:name="_Toc404780531"/>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8</w:t>
      </w:r>
      <w:r w:rsidRPr="002D6D71">
        <w:rPr>
          <w:rFonts w:ascii="Arial" w:hAnsi="Arial" w:cs="Arial"/>
          <w:color w:val="auto"/>
        </w:rPr>
        <w:fldChar w:fldCharType="end"/>
      </w:r>
      <w:r w:rsidRPr="002D6D71">
        <w:rPr>
          <w:rFonts w:ascii="Arial" w:hAnsi="Arial" w:cs="Arial"/>
          <w:color w:val="auto"/>
        </w:rPr>
        <w:t>: Preferable Training Methods</w:t>
      </w:r>
      <w:bookmarkEnd w:id="20"/>
    </w:p>
    <w:p w:rsidR="0095765D" w:rsidRPr="002D6D71" w:rsidRDefault="0095765D" w:rsidP="00C008B5">
      <w:pPr>
        <w:jc w:val="center"/>
        <w:rPr>
          <w:sz w:val="22"/>
          <w:szCs w:val="22"/>
          <w:lang w:val="en-GB"/>
        </w:rPr>
      </w:pPr>
      <w:r w:rsidRPr="002D6D71">
        <w:rPr>
          <w:noProof/>
          <w:sz w:val="22"/>
          <w:szCs w:val="22"/>
        </w:rPr>
        <w:drawing>
          <wp:inline distT="0" distB="0" distL="0" distR="0" wp14:anchorId="5038DC09" wp14:editId="305E28B3">
            <wp:extent cx="4948562" cy="26162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6175" cy="2620225"/>
                    </a:xfrm>
                    <a:prstGeom prst="rect">
                      <a:avLst/>
                    </a:prstGeom>
                    <a:noFill/>
                  </pic:spPr>
                </pic:pic>
              </a:graphicData>
            </a:graphic>
          </wp:inline>
        </w:drawing>
      </w:r>
    </w:p>
    <w:p w:rsidR="0095765D" w:rsidRPr="002D6D71" w:rsidRDefault="0095765D" w:rsidP="002D6D71">
      <w:pPr>
        <w:rPr>
          <w:sz w:val="22"/>
          <w:szCs w:val="22"/>
          <w:lang w:val="en-GB"/>
        </w:rPr>
      </w:pPr>
    </w:p>
    <w:p w:rsidR="0095765D" w:rsidRPr="002D6D71" w:rsidRDefault="0095765D" w:rsidP="002D6D71">
      <w:pPr>
        <w:rPr>
          <w:sz w:val="22"/>
          <w:szCs w:val="22"/>
          <w:lang w:val="en-GB"/>
        </w:rPr>
      </w:pPr>
      <w:r w:rsidRPr="002D6D71">
        <w:rPr>
          <w:sz w:val="22"/>
          <w:szCs w:val="22"/>
          <w:lang w:val="en-GB"/>
        </w:rPr>
        <w:t xml:space="preserve">Finally, respondents were asked for a preference with regard to training methods. Once again there is a fairly wide spread of preferences, but in-house training via workshops/ seminars, case studies and exchange programmes were viewed as most preferable. It is recommended that future training programmes are developed using these; however the increasing preference for university based training may also be indicative of a lack of a pool of skilled resources in general in certain countries.  </w:t>
      </w:r>
      <w:r w:rsidRPr="002D6D71">
        <w:rPr>
          <w:sz w:val="22"/>
          <w:szCs w:val="22"/>
          <w:lang w:val="en-GB"/>
        </w:rPr>
        <w:br w:type="page"/>
      </w:r>
    </w:p>
    <w:p w:rsidR="0095765D" w:rsidRPr="002D6D71" w:rsidRDefault="0095765D" w:rsidP="00B86181">
      <w:pPr>
        <w:pStyle w:val="Heading2"/>
        <w:numPr>
          <w:ilvl w:val="0"/>
          <w:numId w:val="2"/>
        </w:numPr>
      </w:pPr>
      <w:bookmarkStart w:id="21" w:name="_Toc404780581"/>
      <w:bookmarkStart w:id="22" w:name="_Toc405470974"/>
      <w:r w:rsidRPr="002D6D71">
        <w:lastRenderedPageBreak/>
        <w:t>Traditional Regulation</w:t>
      </w:r>
      <w:bookmarkEnd w:id="21"/>
      <w:bookmarkEnd w:id="22"/>
    </w:p>
    <w:p w:rsidR="0095765D" w:rsidRDefault="0095765D" w:rsidP="0095765D">
      <w:pPr>
        <w:spacing w:after="0"/>
        <w:rPr>
          <w:sz w:val="22"/>
          <w:szCs w:val="22"/>
          <w:lang w:val="en-GB"/>
        </w:rPr>
      </w:pPr>
      <w:r w:rsidRPr="002D6D71">
        <w:rPr>
          <w:sz w:val="22"/>
          <w:szCs w:val="22"/>
          <w:lang w:val="en-GB"/>
        </w:rPr>
        <w:t xml:space="preserve">The survey distinguished between “Traditional Regulation” and “Evolving Regulation” in order to determine training requirements for both areas. </w:t>
      </w:r>
    </w:p>
    <w:p w:rsidR="00F43D23" w:rsidRPr="002D6D71" w:rsidRDefault="00F43D23" w:rsidP="0095765D">
      <w:pPr>
        <w:spacing w:after="0"/>
        <w:rPr>
          <w:sz w:val="22"/>
          <w:szCs w:val="22"/>
          <w:lang w:val="en-GB"/>
        </w:rPr>
      </w:pPr>
    </w:p>
    <w:p w:rsidR="0095765D" w:rsidRDefault="0095765D" w:rsidP="00B86181">
      <w:pPr>
        <w:pStyle w:val="Heading2"/>
        <w:keepNext/>
        <w:numPr>
          <w:ilvl w:val="1"/>
          <w:numId w:val="2"/>
        </w:numPr>
        <w:tabs>
          <w:tab w:val="left" w:pos="0"/>
          <w:tab w:val="left" w:pos="709"/>
        </w:tabs>
        <w:autoSpaceDE/>
        <w:autoSpaceDN/>
        <w:adjustRightInd/>
        <w:spacing w:before="120" w:after="240"/>
        <w:ind w:left="706" w:hanging="720"/>
        <w:jc w:val="both"/>
        <w:rPr>
          <w:lang w:val="en-GB"/>
        </w:rPr>
      </w:pPr>
      <w:bookmarkStart w:id="23" w:name="_Toc404780582"/>
      <w:bookmarkStart w:id="24" w:name="_Toc405470975"/>
      <w:r w:rsidRPr="00121A66">
        <w:rPr>
          <w:lang w:val="en-GB"/>
        </w:rPr>
        <w:t>Policy, Regulatory approaches and general understanding</w:t>
      </w:r>
      <w:bookmarkEnd w:id="23"/>
      <w:bookmarkEnd w:id="24"/>
    </w:p>
    <w:p w:rsidR="0095765D" w:rsidRPr="002D6D71" w:rsidRDefault="0095765D" w:rsidP="00F43D23">
      <w:pPr>
        <w:pStyle w:val="Caption"/>
        <w:keepNext w:val="0"/>
        <w:spacing w:before="120" w:line="240" w:lineRule="auto"/>
        <w:rPr>
          <w:rFonts w:ascii="Arial" w:hAnsi="Arial" w:cs="Arial"/>
          <w:color w:val="auto"/>
        </w:rPr>
      </w:pPr>
      <w:bookmarkStart w:id="25" w:name="_Toc404780532"/>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9</w:t>
      </w:r>
      <w:r w:rsidRPr="002D6D71">
        <w:rPr>
          <w:rFonts w:ascii="Arial" w:hAnsi="Arial" w:cs="Arial"/>
          <w:color w:val="auto"/>
        </w:rPr>
        <w:fldChar w:fldCharType="end"/>
      </w:r>
      <w:r w:rsidRPr="002D6D71">
        <w:rPr>
          <w:rFonts w:ascii="Arial" w:hAnsi="Arial" w:cs="Arial"/>
          <w:color w:val="auto"/>
        </w:rPr>
        <w:t>: Policy, regulatory approaches and general understanding</w:t>
      </w:r>
      <w:bookmarkEnd w:id="25"/>
    </w:p>
    <w:p w:rsidR="0095765D" w:rsidRDefault="0095765D" w:rsidP="0095765D">
      <w:pPr>
        <w:spacing w:before="240"/>
        <w:rPr>
          <w:lang w:val="en-GB"/>
        </w:rPr>
      </w:pPr>
      <w:r>
        <w:rPr>
          <w:noProof/>
        </w:rPr>
        <w:drawing>
          <wp:inline distT="0" distB="0" distL="0" distR="0" wp14:anchorId="7A188FBD" wp14:editId="1B4F4A83">
            <wp:extent cx="6096000" cy="2598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0" cy="2598420"/>
                    </a:xfrm>
                    <a:prstGeom prst="rect">
                      <a:avLst/>
                    </a:prstGeom>
                    <a:noFill/>
                  </pic:spPr>
                </pic:pic>
              </a:graphicData>
            </a:graphic>
          </wp:inline>
        </w:drawing>
      </w:r>
    </w:p>
    <w:p w:rsidR="0095765D" w:rsidRPr="003E0FE8" w:rsidRDefault="0095765D" w:rsidP="0095765D">
      <w:pPr>
        <w:spacing w:after="0"/>
        <w:rPr>
          <w:sz w:val="22"/>
          <w:szCs w:val="22"/>
          <w:lang w:val="en-GB"/>
        </w:rPr>
      </w:pPr>
      <w:r w:rsidRPr="003E0FE8">
        <w:rPr>
          <w:sz w:val="22"/>
          <w:szCs w:val="22"/>
          <w:lang w:val="en-GB"/>
        </w:rPr>
        <w:t>There is clearly a good overall understanding of the role of regulation within the electricity industry, with over 50% ability across all topics. However; respondents feel that they are less able to translate that understanding into development, maintenance and monitoring of (for example), policies, rules and regulations in the areas queried.</w:t>
      </w:r>
    </w:p>
    <w:p w:rsidR="0095765D" w:rsidRPr="003E0FE8" w:rsidRDefault="0095765D" w:rsidP="0095765D">
      <w:pPr>
        <w:spacing w:after="0"/>
        <w:rPr>
          <w:sz w:val="22"/>
          <w:szCs w:val="22"/>
          <w:lang w:val="en-GB"/>
        </w:rPr>
      </w:pPr>
    </w:p>
    <w:p w:rsidR="003E0FE8" w:rsidRDefault="0095765D" w:rsidP="003E0FE8">
      <w:pPr>
        <w:spacing w:after="0"/>
        <w:rPr>
          <w:sz w:val="22"/>
          <w:szCs w:val="22"/>
          <w:lang w:val="en-GB"/>
        </w:rPr>
      </w:pPr>
      <w:r w:rsidRPr="003E0FE8">
        <w:rPr>
          <w:sz w:val="22"/>
          <w:szCs w:val="22"/>
          <w:lang w:val="en-GB"/>
        </w:rPr>
        <w:t>Managing trade-offs between competing policies e.g. environmental &amp; industrial development, as well as the difference between ex-post and ex-ante regulation, stand out as the two areas that could use some support.</w:t>
      </w:r>
      <w:bookmarkStart w:id="26" w:name="_Toc404780583"/>
    </w:p>
    <w:p w:rsidR="003E0FE8" w:rsidRDefault="003E0FE8" w:rsidP="003E0FE8">
      <w:pPr>
        <w:spacing w:after="0"/>
        <w:rPr>
          <w:sz w:val="22"/>
          <w:szCs w:val="22"/>
          <w:lang w:val="en-GB"/>
        </w:rPr>
      </w:pPr>
    </w:p>
    <w:p w:rsidR="0095765D" w:rsidRDefault="0095765D" w:rsidP="00B86181">
      <w:pPr>
        <w:pStyle w:val="Heading2"/>
        <w:numPr>
          <w:ilvl w:val="1"/>
          <w:numId w:val="2"/>
        </w:numPr>
        <w:tabs>
          <w:tab w:val="left" w:pos="0"/>
          <w:tab w:val="left" w:pos="709"/>
        </w:tabs>
        <w:autoSpaceDE/>
        <w:autoSpaceDN/>
        <w:adjustRightInd/>
        <w:spacing w:before="360" w:line="360" w:lineRule="auto"/>
        <w:ind w:left="709" w:hanging="720"/>
        <w:jc w:val="both"/>
        <w:rPr>
          <w:lang w:val="en-GB"/>
        </w:rPr>
      </w:pPr>
      <w:bookmarkStart w:id="27" w:name="_Toc405470976"/>
      <w:r w:rsidRPr="00121A66">
        <w:rPr>
          <w:lang w:val="en-GB"/>
        </w:rPr>
        <w:t>Legal</w:t>
      </w:r>
      <w:bookmarkEnd w:id="26"/>
      <w:bookmarkEnd w:id="27"/>
    </w:p>
    <w:p w:rsidR="0095765D" w:rsidRPr="002D6D71" w:rsidRDefault="0095765D" w:rsidP="00F43D23">
      <w:pPr>
        <w:pStyle w:val="Caption"/>
        <w:keepNext w:val="0"/>
        <w:spacing w:before="120" w:line="240" w:lineRule="auto"/>
        <w:rPr>
          <w:rFonts w:ascii="Arial" w:hAnsi="Arial" w:cs="Arial"/>
          <w:color w:val="auto"/>
        </w:rPr>
      </w:pPr>
      <w:bookmarkStart w:id="28" w:name="_Toc404780533"/>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10</w:t>
      </w:r>
      <w:r w:rsidRPr="002D6D71">
        <w:rPr>
          <w:rFonts w:ascii="Arial" w:hAnsi="Arial" w:cs="Arial"/>
          <w:color w:val="auto"/>
        </w:rPr>
        <w:fldChar w:fldCharType="end"/>
      </w:r>
      <w:r w:rsidRPr="002D6D71">
        <w:rPr>
          <w:rFonts w:ascii="Arial" w:hAnsi="Arial" w:cs="Arial"/>
          <w:color w:val="auto"/>
        </w:rPr>
        <w:t>: Legal issues</w:t>
      </w:r>
      <w:bookmarkEnd w:id="28"/>
    </w:p>
    <w:p w:rsidR="0095765D" w:rsidRDefault="0095765D" w:rsidP="003E0FE8">
      <w:pPr>
        <w:spacing w:before="240"/>
        <w:rPr>
          <w:lang w:val="en-GB"/>
        </w:rPr>
      </w:pPr>
      <w:r w:rsidRPr="00602C02">
        <w:rPr>
          <w:noProof/>
        </w:rPr>
        <w:drawing>
          <wp:inline distT="0" distB="0" distL="0" distR="0" wp14:anchorId="3C4D93A6" wp14:editId="07262352">
            <wp:extent cx="6153767" cy="23145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4286" cy="2318532"/>
                    </a:xfrm>
                    <a:prstGeom prst="rect">
                      <a:avLst/>
                    </a:prstGeom>
                    <a:noFill/>
                    <a:ln>
                      <a:noFill/>
                    </a:ln>
                    <a:effectLst/>
                    <a:extLst/>
                  </pic:spPr>
                </pic:pic>
              </a:graphicData>
            </a:graphic>
          </wp:inline>
        </w:drawing>
      </w:r>
    </w:p>
    <w:p w:rsidR="003E0FE8" w:rsidRDefault="003E0FE8" w:rsidP="003E0FE8">
      <w:pPr>
        <w:rPr>
          <w:sz w:val="22"/>
          <w:szCs w:val="22"/>
          <w:lang w:val="en-GB"/>
        </w:rPr>
      </w:pPr>
    </w:p>
    <w:p w:rsidR="0095765D" w:rsidRPr="003E0FE8" w:rsidRDefault="0095765D" w:rsidP="003E0FE8">
      <w:pPr>
        <w:rPr>
          <w:sz w:val="22"/>
          <w:szCs w:val="22"/>
          <w:lang w:val="en-GB"/>
        </w:rPr>
      </w:pPr>
      <w:r w:rsidRPr="003E0FE8">
        <w:rPr>
          <w:sz w:val="22"/>
          <w:szCs w:val="22"/>
          <w:lang w:val="en-GB"/>
        </w:rPr>
        <w:t>Legal issues associated with traditional regulations were seen as well understood and managed. There was less ability with regard to governance processes and the implementation of penalties and sanctions as a result of complaints and investigations. This is a highly specialised area of regulation and it is expected that regulators will seek specialist advice – however the development of these governance regimes is the responsibility of the regulator and this must be ensured through appropriate training support.</w:t>
      </w:r>
    </w:p>
    <w:p w:rsidR="0095765D" w:rsidRPr="00121A66"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29" w:name="_Toc404780584"/>
      <w:bookmarkStart w:id="30" w:name="_Toc405470977"/>
      <w:r>
        <w:rPr>
          <w:lang w:val="en-GB"/>
        </w:rPr>
        <w:t>Technical</w:t>
      </w:r>
      <w:bookmarkEnd w:id="29"/>
      <w:bookmarkEnd w:id="30"/>
    </w:p>
    <w:p w:rsidR="0095765D" w:rsidRPr="002D6D71" w:rsidRDefault="0095765D" w:rsidP="00F43D23">
      <w:pPr>
        <w:pStyle w:val="Caption"/>
        <w:keepNext w:val="0"/>
        <w:spacing w:before="120" w:line="240" w:lineRule="auto"/>
        <w:rPr>
          <w:rFonts w:ascii="Arial" w:hAnsi="Arial" w:cs="Arial"/>
          <w:color w:val="auto"/>
        </w:rPr>
      </w:pPr>
      <w:bookmarkStart w:id="31" w:name="_Toc404780534"/>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11</w:t>
      </w:r>
      <w:r w:rsidRPr="002D6D71">
        <w:rPr>
          <w:rFonts w:ascii="Arial" w:hAnsi="Arial" w:cs="Arial"/>
          <w:color w:val="auto"/>
        </w:rPr>
        <w:fldChar w:fldCharType="end"/>
      </w:r>
      <w:r w:rsidRPr="002D6D71">
        <w:rPr>
          <w:rFonts w:ascii="Arial" w:hAnsi="Arial" w:cs="Arial"/>
          <w:color w:val="auto"/>
        </w:rPr>
        <w:t>: Technical Issues</w:t>
      </w:r>
      <w:bookmarkEnd w:id="31"/>
    </w:p>
    <w:p w:rsidR="0095765D" w:rsidRDefault="0095765D" w:rsidP="0095765D">
      <w:pPr>
        <w:rPr>
          <w:lang w:val="en-GB"/>
        </w:rPr>
      </w:pPr>
      <w:r w:rsidRPr="00602C02">
        <w:rPr>
          <w:noProof/>
        </w:rPr>
        <w:drawing>
          <wp:inline distT="0" distB="0" distL="0" distR="0" wp14:anchorId="79371760" wp14:editId="5188BC47">
            <wp:extent cx="5974080" cy="2057400"/>
            <wp:effectExtent l="0" t="0" r="762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4080" cy="2057400"/>
                    </a:xfrm>
                    <a:prstGeom prst="rect">
                      <a:avLst/>
                    </a:prstGeom>
                    <a:noFill/>
                    <a:ln>
                      <a:noFill/>
                    </a:ln>
                    <a:effectLst/>
                    <a:extLst/>
                  </pic:spPr>
                </pic:pic>
              </a:graphicData>
            </a:graphic>
          </wp:inline>
        </w:drawing>
      </w:r>
    </w:p>
    <w:p w:rsidR="00F43D23" w:rsidRDefault="00F43D23" w:rsidP="0095765D">
      <w:pPr>
        <w:rPr>
          <w:sz w:val="22"/>
          <w:szCs w:val="22"/>
          <w:lang w:val="en-GB"/>
        </w:rPr>
      </w:pPr>
    </w:p>
    <w:p w:rsidR="0095765D" w:rsidRPr="00F43D23" w:rsidRDefault="0095765D" w:rsidP="0095765D">
      <w:pPr>
        <w:rPr>
          <w:sz w:val="22"/>
          <w:szCs w:val="22"/>
          <w:lang w:val="en-GB"/>
        </w:rPr>
      </w:pPr>
      <w:r w:rsidRPr="00F43D23">
        <w:rPr>
          <w:sz w:val="22"/>
          <w:szCs w:val="22"/>
          <w:lang w:val="en-GB"/>
        </w:rPr>
        <w:t>Although respondents earlier highlighted technical training as an area that required further support, their specific self-assessment rates the current status of technical ability as being relatively high across traditional areas of regulation.</w:t>
      </w:r>
    </w:p>
    <w:p w:rsidR="0095765D" w:rsidRPr="00F43D23" w:rsidRDefault="0095765D" w:rsidP="0095765D">
      <w:pPr>
        <w:rPr>
          <w:sz w:val="22"/>
          <w:szCs w:val="22"/>
          <w:lang w:val="en-GB"/>
        </w:rPr>
      </w:pPr>
      <w:r w:rsidRPr="00F43D23">
        <w:rPr>
          <w:sz w:val="22"/>
          <w:szCs w:val="22"/>
          <w:lang w:val="en-GB"/>
        </w:rPr>
        <w:t>Metering and monitoring of grid code compliance are the least skilled areas in this section. It should also be noted that across almost all areas in the survey there is decreasing ability as the respondents move from measuring their “understanding” of a topic through to “monitor/measuring”. This seems to indicate that respondents are comfortable conceptually, but often lack the skills to implement and manage ongoing regulatory requirements.</w:t>
      </w:r>
    </w:p>
    <w:p w:rsidR="00F43D23" w:rsidRPr="00F43D23" w:rsidRDefault="0095765D" w:rsidP="00B86181">
      <w:pPr>
        <w:pStyle w:val="Heading2"/>
        <w:numPr>
          <w:ilvl w:val="1"/>
          <w:numId w:val="2"/>
        </w:numPr>
        <w:tabs>
          <w:tab w:val="left" w:pos="0"/>
          <w:tab w:val="left" w:pos="709"/>
        </w:tabs>
        <w:autoSpaceDE/>
        <w:autoSpaceDN/>
        <w:adjustRightInd/>
        <w:spacing w:before="360" w:line="360" w:lineRule="auto"/>
        <w:ind w:left="709" w:hanging="720"/>
        <w:jc w:val="both"/>
        <w:rPr>
          <w:lang w:val="en-GB"/>
        </w:rPr>
      </w:pPr>
      <w:bookmarkStart w:id="32" w:name="_Toc404780585"/>
      <w:bookmarkStart w:id="33" w:name="_Toc405470978"/>
      <w:r w:rsidRPr="00F43D23">
        <w:rPr>
          <w:lang w:val="en-GB"/>
        </w:rPr>
        <w:t>Economic</w:t>
      </w:r>
      <w:bookmarkEnd w:id="32"/>
      <w:bookmarkEnd w:id="33"/>
    </w:p>
    <w:p w:rsidR="0095765D" w:rsidRPr="002D6D71" w:rsidRDefault="0095765D" w:rsidP="00F43D23">
      <w:pPr>
        <w:pStyle w:val="Caption"/>
        <w:keepNext w:val="0"/>
        <w:spacing w:before="120" w:line="240" w:lineRule="auto"/>
        <w:rPr>
          <w:rFonts w:ascii="Arial" w:hAnsi="Arial" w:cs="Arial"/>
          <w:color w:val="auto"/>
        </w:rPr>
      </w:pPr>
      <w:bookmarkStart w:id="34" w:name="_Toc404780535"/>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12</w:t>
      </w:r>
      <w:r w:rsidRPr="002D6D71">
        <w:rPr>
          <w:rFonts w:ascii="Arial" w:hAnsi="Arial" w:cs="Arial"/>
          <w:color w:val="auto"/>
        </w:rPr>
        <w:fldChar w:fldCharType="end"/>
      </w:r>
      <w:r w:rsidRPr="002D6D71">
        <w:rPr>
          <w:rFonts w:ascii="Arial" w:hAnsi="Arial" w:cs="Arial"/>
          <w:color w:val="auto"/>
        </w:rPr>
        <w:t>: Economic Issues</w:t>
      </w:r>
      <w:bookmarkEnd w:id="34"/>
    </w:p>
    <w:p w:rsidR="0095765D" w:rsidRDefault="0095765D" w:rsidP="00F43D23">
      <w:pPr>
        <w:spacing w:before="240"/>
        <w:rPr>
          <w:lang w:val="en-GB"/>
        </w:rPr>
      </w:pPr>
      <w:r w:rsidRPr="004D2E65">
        <w:rPr>
          <w:noProof/>
        </w:rPr>
        <w:drawing>
          <wp:inline distT="0" distB="0" distL="0" distR="0" wp14:anchorId="2EEBA092" wp14:editId="207BC29B">
            <wp:extent cx="5974080" cy="2186940"/>
            <wp:effectExtent l="0" t="0" r="7620" b="381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4756" cy="2187187"/>
                    </a:xfrm>
                    <a:prstGeom prst="rect">
                      <a:avLst/>
                    </a:prstGeom>
                    <a:noFill/>
                    <a:ln>
                      <a:noFill/>
                    </a:ln>
                    <a:effectLst/>
                    <a:extLst/>
                  </pic:spPr>
                </pic:pic>
              </a:graphicData>
            </a:graphic>
          </wp:inline>
        </w:drawing>
      </w:r>
    </w:p>
    <w:p w:rsidR="00F43D23" w:rsidRPr="00F43D23" w:rsidRDefault="00F43D23" w:rsidP="00F43D23">
      <w:pPr>
        <w:rPr>
          <w:sz w:val="22"/>
          <w:szCs w:val="22"/>
          <w:lang w:val="en-GB"/>
        </w:rPr>
      </w:pPr>
      <w:r w:rsidRPr="00F43D23">
        <w:rPr>
          <w:sz w:val="22"/>
          <w:szCs w:val="22"/>
          <w:lang w:val="en-GB"/>
        </w:rPr>
        <w:lastRenderedPageBreak/>
        <w:t>Over 11% of all respondents staff were categorised as being responsible for regulatory economic issues. General understanding is relatively high, however there is some requirement of further training around socio-economic impacts, which is also closely linked with understanding policy trade-offs (mentioned previously as needing further training). These two areas can be linked in future training programs.</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35" w:name="_Toc404780586"/>
      <w:bookmarkStart w:id="36" w:name="_Toc405470979"/>
      <w:r>
        <w:rPr>
          <w:lang w:val="en-GB"/>
        </w:rPr>
        <w:t>Consumer</w:t>
      </w:r>
      <w:bookmarkEnd w:id="35"/>
      <w:bookmarkEnd w:id="36"/>
    </w:p>
    <w:p w:rsidR="0095765D" w:rsidRPr="002D6D71" w:rsidRDefault="0095765D" w:rsidP="00F43D23">
      <w:pPr>
        <w:pStyle w:val="Caption"/>
        <w:spacing w:before="120" w:line="240" w:lineRule="auto"/>
        <w:rPr>
          <w:rFonts w:ascii="Arial" w:hAnsi="Arial" w:cs="Arial"/>
          <w:color w:val="auto"/>
        </w:rPr>
      </w:pPr>
      <w:bookmarkStart w:id="37" w:name="_Toc404780536"/>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13</w:t>
      </w:r>
      <w:r w:rsidRPr="002D6D71">
        <w:rPr>
          <w:rFonts w:ascii="Arial" w:hAnsi="Arial" w:cs="Arial"/>
          <w:color w:val="auto"/>
        </w:rPr>
        <w:fldChar w:fldCharType="end"/>
      </w:r>
      <w:r w:rsidRPr="002D6D71">
        <w:rPr>
          <w:rFonts w:ascii="Arial" w:hAnsi="Arial" w:cs="Arial"/>
          <w:color w:val="auto"/>
        </w:rPr>
        <w:t>: Consumer Issues</w:t>
      </w:r>
      <w:bookmarkEnd w:id="37"/>
    </w:p>
    <w:p w:rsidR="0095765D" w:rsidRDefault="0095765D" w:rsidP="0095765D">
      <w:pPr>
        <w:spacing w:before="240"/>
        <w:rPr>
          <w:lang w:val="en-GB"/>
        </w:rPr>
      </w:pPr>
      <w:r w:rsidRPr="004D2E65">
        <w:rPr>
          <w:noProof/>
        </w:rPr>
        <w:drawing>
          <wp:inline distT="0" distB="0" distL="0" distR="0" wp14:anchorId="7BF37703" wp14:editId="4629A85F">
            <wp:extent cx="6050279" cy="2727960"/>
            <wp:effectExtent l="0" t="0" r="8255"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9199" cy="2731982"/>
                    </a:xfrm>
                    <a:prstGeom prst="rect">
                      <a:avLst/>
                    </a:prstGeom>
                    <a:noFill/>
                    <a:ln>
                      <a:noFill/>
                    </a:ln>
                    <a:effectLst/>
                    <a:extLst/>
                  </pic:spPr>
                </pic:pic>
              </a:graphicData>
            </a:graphic>
          </wp:inline>
        </w:drawing>
      </w:r>
    </w:p>
    <w:p w:rsidR="00F43D23" w:rsidRDefault="00F43D23" w:rsidP="0095765D">
      <w:pPr>
        <w:rPr>
          <w:sz w:val="22"/>
          <w:szCs w:val="22"/>
          <w:lang w:val="en-GB"/>
        </w:rPr>
      </w:pPr>
    </w:p>
    <w:p w:rsidR="0095765D" w:rsidRPr="00F43D23" w:rsidRDefault="0095765D" w:rsidP="0095765D">
      <w:pPr>
        <w:rPr>
          <w:sz w:val="22"/>
          <w:szCs w:val="22"/>
          <w:lang w:val="en-GB"/>
        </w:rPr>
      </w:pPr>
      <w:r w:rsidRPr="00F43D23">
        <w:rPr>
          <w:sz w:val="22"/>
          <w:szCs w:val="22"/>
          <w:lang w:val="en-GB"/>
        </w:rPr>
        <w:t xml:space="preserve">Consumer related issues were highlighted in all sections as being critical areas that require improvement – from both </w:t>
      </w:r>
      <w:r w:rsidR="00F43D23" w:rsidRPr="00F43D23">
        <w:rPr>
          <w:sz w:val="22"/>
          <w:szCs w:val="22"/>
          <w:lang w:val="en-GB"/>
        </w:rPr>
        <w:t>training</w:t>
      </w:r>
      <w:r w:rsidRPr="00F43D23">
        <w:rPr>
          <w:sz w:val="22"/>
          <w:szCs w:val="22"/>
          <w:lang w:val="en-GB"/>
        </w:rPr>
        <w:t xml:space="preserve"> and staffing point of view. Subsidy instruments and processing of complaints are highlighted as the main areas requiring attention – subsidies will also from a part of the issues regarding socio-economic impacts and policy trade-offs. </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38" w:name="_Toc404780587"/>
      <w:bookmarkStart w:id="39" w:name="_Toc405470980"/>
      <w:r w:rsidRPr="00121A66">
        <w:rPr>
          <w:lang w:val="en-GB"/>
        </w:rPr>
        <w:t>Oversight &amp; Compliance</w:t>
      </w:r>
      <w:bookmarkEnd w:id="38"/>
      <w:bookmarkEnd w:id="39"/>
      <w:r w:rsidRPr="00121A66">
        <w:rPr>
          <w:lang w:val="en-GB"/>
        </w:rPr>
        <w:t xml:space="preserve"> </w:t>
      </w:r>
    </w:p>
    <w:p w:rsidR="0095765D" w:rsidRPr="002D6D71" w:rsidRDefault="0095765D" w:rsidP="00F43D23">
      <w:pPr>
        <w:pStyle w:val="Caption"/>
        <w:spacing w:before="120" w:line="240" w:lineRule="auto"/>
        <w:rPr>
          <w:rFonts w:ascii="Arial" w:hAnsi="Arial" w:cs="Arial"/>
          <w:color w:val="auto"/>
        </w:rPr>
      </w:pPr>
      <w:bookmarkStart w:id="40" w:name="_Toc404780537"/>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14</w:t>
      </w:r>
      <w:r w:rsidRPr="002D6D71">
        <w:rPr>
          <w:rFonts w:ascii="Arial" w:hAnsi="Arial" w:cs="Arial"/>
          <w:color w:val="auto"/>
        </w:rPr>
        <w:fldChar w:fldCharType="end"/>
      </w:r>
      <w:r w:rsidRPr="002D6D71">
        <w:rPr>
          <w:rFonts w:ascii="Arial" w:hAnsi="Arial" w:cs="Arial"/>
          <w:color w:val="auto"/>
        </w:rPr>
        <w:t>: Oversight &amp; Compliance Issues</w:t>
      </w:r>
      <w:bookmarkEnd w:id="40"/>
    </w:p>
    <w:p w:rsidR="0095765D" w:rsidRDefault="0095765D" w:rsidP="0095765D">
      <w:pPr>
        <w:spacing w:before="240"/>
        <w:rPr>
          <w:lang w:val="en-GB"/>
        </w:rPr>
      </w:pPr>
      <w:r w:rsidRPr="00FA2EFD">
        <w:rPr>
          <w:noProof/>
        </w:rPr>
        <w:drawing>
          <wp:inline distT="0" distB="0" distL="0" distR="0" wp14:anchorId="472D2F22" wp14:editId="2B761766">
            <wp:extent cx="6050280" cy="2606040"/>
            <wp:effectExtent l="0" t="0" r="7620" b="381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0280" cy="2606040"/>
                    </a:xfrm>
                    <a:prstGeom prst="rect">
                      <a:avLst/>
                    </a:prstGeom>
                    <a:noFill/>
                    <a:ln>
                      <a:noFill/>
                    </a:ln>
                    <a:effectLst/>
                    <a:extLst/>
                  </pic:spPr>
                </pic:pic>
              </a:graphicData>
            </a:graphic>
          </wp:inline>
        </w:drawing>
      </w:r>
    </w:p>
    <w:p w:rsidR="0095765D" w:rsidRDefault="0095765D" w:rsidP="0095765D">
      <w:pPr>
        <w:rPr>
          <w:sz w:val="22"/>
          <w:szCs w:val="22"/>
          <w:lang w:val="en-GB"/>
        </w:rPr>
      </w:pPr>
      <w:r w:rsidRPr="00C20AFA">
        <w:rPr>
          <w:sz w:val="22"/>
          <w:szCs w:val="22"/>
          <w:lang w:val="en-GB"/>
        </w:rPr>
        <w:lastRenderedPageBreak/>
        <w:t xml:space="preserve">This area scored relatively low overall excepting for the issues around licensing compliance. </w:t>
      </w:r>
      <w:r w:rsidR="004336A2">
        <w:rPr>
          <w:sz w:val="22"/>
          <w:szCs w:val="22"/>
          <w:lang w:val="en-GB"/>
        </w:rPr>
        <w:t>T</w:t>
      </w:r>
      <w:r w:rsidRPr="00C20AFA">
        <w:rPr>
          <w:sz w:val="22"/>
          <w:szCs w:val="22"/>
          <w:lang w:val="en-GB"/>
        </w:rPr>
        <w:t xml:space="preserve">he </w:t>
      </w:r>
      <w:proofErr w:type="gramStart"/>
      <w:r w:rsidRPr="00C20AFA">
        <w:rPr>
          <w:sz w:val="22"/>
          <w:szCs w:val="22"/>
          <w:lang w:val="en-GB"/>
        </w:rPr>
        <w:t>issues of compliance as it relates to subsidies scor</w:t>
      </w:r>
      <w:r w:rsidR="00C20AFA">
        <w:rPr>
          <w:sz w:val="22"/>
          <w:szCs w:val="22"/>
          <w:lang w:val="en-GB"/>
        </w:rPr>
        <w:t>ed the lowest and is</w:t>
      </w:r>
      <w:proofErr w:type="gramEnd"/>
      <w:r w:rsidR="00C20AFA">
        <w:rPr>
          <w:sz w:val="22"/>
          <w:szCs w:val="22"/>
          <w:lang w:val="en-GB"/>
        </w:rPr>
        <w:t xml:space="preserve"> clearly an</w:t>
      </w:r>
      <w:r w:rsidRPr="00C20AFA">
        <w:rPr>
          <w:sz w:val="22"/>
          <w:szCs w:val="22"/>
          <w:lang w:val="en-GB"/>
        </w:rPr>
        <w:t xml:space="preserve"> area which requires support. Most of the areas scored at average (50%) ability and this entire section should be earmarked for further investigation regarding future training.</w:t>
      </w:r>
    </w:p>
    <w:p w:rsidR="00C20AFA" w:rsidRPr="00C20AFA" w:rsidRDefault="00C20AFA" w:rsidP="0095765D">
      <w:pPr>
        <w:rPr>
          <w:sz w:val="22"/>
          <w:szCs w:val="22"/>
          <w:lang w:val="en-GB"/>
        </w:rPr>
      </w:pP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41" w:name="_Toc404780588"/>
      <w:bookmarkStart w:id="42" w:name="_Toc405470981"/>
      <w:r>
        <w:rPr>
          <w:lang w:val="en-GB"/>
        </w:rPr>
        <w:t>General Managerial</w:t>
      </w:r>
      <w:bookmarkEnd w:id="41"/>
      <w:bookmarkEnd w:id="42"/>
    </w:p>
    <w:p w:rsidR="0095765D" w:rsidRPr="002D6D71" w:rsidRDefault="0095765D" w:rsidP="00F43D23">
      <w:pPr>
        <w:pStyle w:val="Caption"/>
        <w:spacing w:before="120" w:line="240" w:lineRule="auto"/>
        <w:rPr>
          <w:rFonts w:ascii="Arial" w:hAnsi="Arial" w:cs="Arial"/>
          <w:color w:val="auto"/>
        </w:rPr>
      </w:pPr>
      <w:bookmarkStart w:id="43" w:name="_Toc404780538"/>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15</w:t>
      </w:r>
      <w:r w:rsidRPr="002D6D71">
        <w:rPr>
          <w:rFonts w:ascii="Arial" w:hAnsi="Arial" w:cs="Arial"/>
          <w:color w:val="auto"/>
        </w:rPr>
        <w:fldChar w:fldCharType="end"/>
      </w:r>
      <w:r w:rsidRPr="002D6D71">
        <w:rPr>
          <w:rFonts w:ascii="Arial" w:hAnsi="Arial" w:cs="Arial"/>
          <w:color w:val="auto"/>
        </w:rPr>
        <w:t>: General Managerial Issues</w:t>
      </w:r>
      <w:bookmarkEnd w:id="43"/>
    </w:p>
    <w:p w:rsidR="0095765D" w:rsidRDefault="0095765D" w:rsidP="0095765D">
      <w:pPr>
        <w:spacing w:before="240"/>
        <w:rPr>
          <w:lang w:val="en-GB"/>
        </w:rPr>
      </w:pPr>
      <w:r w:rsidRPr="002F3CBC">
        <w:rPr>
          <w:noProof/>
        </w:rPr>
        <w:drawing>
          <wp:inline distT="0" distB="0" distL="0" distR="0" wp14:anchorId="6C6C7B0B" wp14:editId="18B950C8">
            <wp:extent cx="6048375" cy="3667125"/>
            <wp:effectExtent l="0" t="0" r="9525" b="952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0966" cy="3668696"/>
                    </a:xfrm>
                    <a:prstGeom prst="rect">
                      <a:avLst/>
                    </a:prstGeom>
                    <a:noFill/>
                    <a:ln>
                      <a:noFill/>
                    </a:ln>
                    <a:effectLst/>
                    <a:extLst/>
                  </pic:spPr>
                </pic:pic>
              </a:graphicData>
            </a:graphic>
          </wp:inline>
        </w:drawing>
      </w:r>
    </w:p>
    <w:p w:rsidR="00C20AFA" w:rsidRDefault="00C20AFA" w:rsidP="0095765D">
      <w:pPr>
        <w:rPr>
          <w:lang w:val="en-GB"/>
        </w:rPr>
      </w:pPr>
    </w:p>
    <w:p w:rsidR="0095765D" w:rsidRPr="00C20AFA" w:rsidRDefault="0095765D" w:rsidP="0095765D">
      <w:pPr>
        <w:rPr>
          <w:sz w:val="22"/>
          <w:szCs w:val="22"/>
          <w:lang w:val="en-GB"/>
        </w:rPr>
      </w:pPr>
      <w:r w:rsidRPr="00C20AFA">
        <w:rPr>
          <w:sz w:val="22"/>
          <w:szCs w:val="22"/>
          <w:lang w:val="en-GB"/>
        </w:rPr>
        <w:t>General managerial skills were relatively high across common functions such as financial management and budgeting. An emerging theme from these questions was the requirement for further assistance with regard to data, analysis and Information Systems support. Interestingly, stakeholder management processes has been highlighted as another area to be considered for future training.</w:t>
      </w:r>
    </w:p>
    <w:p w:rsidR="0095765D" w:rsidRDefault="0095765D" w:rsidP="0095765D">
      <w:pPr>
        <w:rPr>
          <w:lang w:val="en-GB"/>
        </w:rPr>
      </w:pPr>
    </w:p>
    <w:p w:rsidR="0095765D" w:rsidRDefault="0095765D" w:rsidP="0095765D">
      <w:pPr>
        <w:spacing w:after="0"/>
        <w:rPr>
          <w:lang w:val="en-GB"/>
        </w:rPr>
      </w:pPr>
      <w:r>
        <w:rPr>
          <w:lang w:val="en-GB"/>
        </w:rPr>
        <w:br w:type="page"/>
      </w:r>
    </w:p>
    <w:p w:rsidR="0095765D" w:rsidRPr="00C20AFA" w:rsidRDefault="0095765D" w:rsidP="00B86181">
      <w:pPr>
        <w:pStyle w:val="Heading2"/>
        <w:numPr>
          <w:ilvl w:val="0"/>
          <w:numId w:val="2"/>
        </w:numPr>
      </w:pPr>
      <w:bookmarkStart w:id="44" w:name="_Toc404780589"/>
      <w:bookmarkStart w:id="45" w:name="_Toc405470982"/>
      <w:r w:rsidRPr="00C20AFA">
        <w:lastRenderedPageBreak/>
        <w:t>Evolving Regulation</w:t>
      </w:r>
      <w:bookmarkEnd w:id="44"/>
      <w:bookmarkEnd w:id="45"/>
    </w:p>
    <w:p w:rsidR="0095765D" w:rsidRPr="00C20AFA" w:rsidRDefault="0095765D" w:rsidP="0095765D">
      <w:pPr>
        <w:rPr>
          <w:sz w:val="22"/>
          <w:szCs w:val="22"/>
          <w:lang w:val="en-GB"/>
        </w:rPr>
      </w:pPr>
      <w:r w:rsidRPr="00C20AFA">
        <w:rPr>
          <w:sz w:val="22"/>
          <w:szCs w:val="22"/>
          <w:lang w:val="en-GB"/>
        </w:rPr>
        <w:t>The questions in this section were intended to gauge the level of ability respondents had with emerging market structures, technologies, innovation and trends in the electricity supply industry.</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46" w:name="_Toc404780590"/>
      <w:bookmarkStart w:id="47" w:name="_Toc405470983"/>
      <w:r>
        <w:rPr>
          <w:lang w:val="en-GB"/>
        </w:rPr>
        <w:t>Policy</w:t>
      </w:r>
      <w:bookmarkEnd w:id="46"/>
      <w:bookmarkEnd w:id="47"/>
    </w:p>
    <w:p w:rsidR="0095765D" w:rsidRPr="002D6D71" w:rsidRDefault="0095765D" w:rsidP="00F43D23">
      <w:pPr>
        <w:pStyle w:val="Caption"/>
        <w:spacing w:before="120" w:line="240" w:lineRule="auto"/>
        <w:rPr>
          <w:rFonts w:ascii="Arial" w:hAnsi="Arial" w:cs="Arial"/>
          <w:color w:val="auto"/>
        </w:rPr>
      </w:pPr>
      <w:bookmarkStart w:id="48" w:name="_Toc404780539"/>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16</w:t>
      </w:r>
      <w:r w:rsidRPr="002D6D71">
        <w:rPr>
          <w:rFonts w:ascii="Arial" w:hAnsi="Arial" w:cs="Arial"/>
          <w:color w:val="auto"/>
        </w:rPr>
        <w:fldChar w:fldCharType="end"/>
      </w:r>
      <w:r w:rsidRPr="002D6D71">
        <w:rPr>
          <w:rFonts w:ascii="Arial" w:hAnsi="Arial" w:cs="Arial"/>
          <w:color w:val="auto"/>
        </w:rPr>
        <w:t>: Evolving Policy</w:t>
      </w:r>
      <w:bookmarkEnd w:id="48"/>
    </w:p>
    <w:p w:rsidR="0095765D" w:rsidRDefault="0095765D" w:rsidP="0095765D">
      <w:pPr>
        <w:rPr>
          <w:lang w:val="en-GB"/>
        </w:rPr>
      </w:pPr>
      <w:r w:rsidRPr="002F3CBC">
        <w:rPr>
          <w:noProof/>
        </w:rPr>
        <w:drawing>
          <wp:inline distT="0" distB="0" distL="0" distR="0" wp14:anchorId="185CBED5" wp14:editId="3911B15E">
            <wp:extent cx="6101319" cy="2800350"/>
            <wp:effectExtent l="0" t="0" r="0" b="0"/>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1933" cy="2805222"/>
                    </a:xfrm>
                    <a:prstGeom prst="rect">
                      <a:avLst/>
                    </a:prstGeom>
                    <a:noFill/>
                    <a:ln>
                      <a:noFill/>
                    </a:ln>
                    <a:effectLst/>
                    <a:extLst/>
                  </pic:spPr>
                </pic:pic>
              </a:graphicData>
            </a:graphic>
          </wp:inline>
        </w:drawing>
      </w:r>
    </w:p>
    <w:p w:rsidR="0095765D" w:rsidRPr="00C20AFA" w:rsidRDefault="0095765D" w:rsidP="0095765D">
      <w:pPr>
        <w:rPr>
          <w:sz w:val="22"/>
          <w:szCs w:val="22"/>
          <w:lang w:val="en-GB"/>
        </w:rPr>
      </w:pPr>
      <w:r w:rsidRPr="00C20AFA">
        <w:rPr>
          <w:sz w:val="22"/>
          <w:szCs w:val="22"/>
          <w:lang w:val="en-GB"/>
        </w:rPr>
        <w:t>The role of Independent Power Producers (IPPs), carbon taxation and energy efficiency have become increasingly important over the past 5-10 years. The low scores in this area indicate that these are issues which need to be addressed immediately through training and education.</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49" w:name="_Toc404780591"/>
      <w:bookmarkStart w:id="50" w:name="_Toc405470984"/>
      <w:r>
        <w:rPr>
          <w:lang w:val="en-GB"/>
        </w:rPr>
        <w:t>Renewable Energy Implications</w:t>
      </w:r>
      <w:bookmarkEnd w:id="49"/>
      <w:bookmarkEnd w:id="50"/>
    </w:p>
    <w:p w:rsidR="0095765D" w:rsidRPr="002D6D71" w:rsidRDefault="0095765D" w:rsidP="00F43D23">
      <w:pPr>
        <w:pStyle w:val="Caption"/>
        <w:spacing w:before="120" w:line="240" w:lineRule="auto"/>
        <w:rPr>
          <w:rFonts w:ascii="Arial" w:hAnsi="Arial" w:cs="Arial"/>
          <w:color w:val="auto"/>
        </w:rPr>
      </w:pPr>
      <w:bookmarkStart w:id="51" w:name="_Toc404780540"/>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17</w:t>
      </w:r>
      <w:r w:rsidRPr="002D6D71">
        <w:rPr>
          <w:rFonts w:ascii="Arial" w:hAnsi="Arial" w:cs="Arial"/>
          <w:color w:val="auto"/>
        </w:rPr>
        <w:fldChar w:fldCharType="end"/>
      </w:r>
      <w:r w:rsidRPr="002D6D71">
        <w:rPr>
          <w:rFonts w:ascii="Arial" w:hAnsi="Arial" w:cs="Arial"/>
          <w:color w:val="auto"/>
        </w:rPr>
        <w:t>: Renewable Energy Implications</w:t>
      </w:r>
      <w:bookmarkEnd w:id="51"/>
    </w:p>
    <w:p w:rsidR="0095765D" w:rsidRDefault="0095765D" w:rsidP="0095765D">
      <w:pPr>
        <w:spacing w:before="240"/>
        <w:rPr>
          <w:lang w:val="en-GB"/>
        </w:rPr>
      </w:pPr>
      <w:r w:rsidRPr="00E57015">
        <w:rPr>
          <w:noProof/>
        </w:rPr>
        <w:drawing>
          <wp:inline distT="0" distB="0" distL="0" distR="0" wp14:anchorId="76CE41A1" wp14:editId="61B8BF90">
            <wp:extent cx="6111240" cy="2727960"/>
            <wp:effectExtent l="0" t="0" r="381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1932" cy="2728269"/>
                    </a:xfrm>
                    <a:prstGeom prst="rect">
                      <a:avLst/>
                    </a:prstGeom>
                    <a:noFill/>
                    <a:ln>
                      <a:noFill/>
                    </a:ln>
                    <a:effectLst/>
                    <a:extLst/>
                  </pic:spPr>
                </pic:pic>
              </a:graphicData>
            </a:graphic>
          </wp:inline>
        </w:drawing>
      </w:r>
    </w:p>
    <w:p w:rsidR="0095765D" w:rsidRPr="00C20AFA" w:rsidRDefault="0095765D" w:rsidP="00C20AFA">
      <w:pPr>
        <w:rPr>
          <w:sz w:val="22"/>
          <w:szCs w:val="22"/>
          <w:lang w:val="en-GB"/>
        </w:rPr>
      </w:pPr>
      <w:r w:rsidRPr="00C20AFA">
        <w:rPr>
          <w:sz w:val="22"/>
          <w:szCs w:val="22"/>
          <w:lang w:val="en-GB"/>
        </w:rPr>
        <w:t xml:space="preserve">Similarly, the scoring on ability of renewable energy implications is extremely low, especially as compared with scoring in the traditional areas of regulation. It is understood that this area has only </w:t>
      </w:r>
      <w:r w:rsidRPr="00C20AFA">
        <w:rPr>
          <w:sz w:val="22"/>
          <w:szCs w:val="22"/>
          <w:lang w:val="en-GB"/>
        </w:rPr>
        <w:lastRenderedPageBreak/>
        <w:t xml:space="preserve">recently become an important component of the regulators ambit; however the impact of renewable energy and evolving market structures is another key theme emerging from this evolving policy section that requires further appropriate support. </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52" w:name="_Toc404780592"/>
      <w:bookmarkStart w:id="53" w:name="_Toc405470985"/>
      <w:r>
        <w:rPr>
          <w:lang w:val="en-GB"/>
        </w:rPr>
        <w:t>Embedded Generation</w:t>
      </w:r>
      <w:bookmarkEnd w:id="52"/>
      <w:bookmarkEnd w:id="53"/>
    </w:p>
    <w:p w:rsidR="0095765D" w:rsidRPr="002D6D71" w:rsidRDefault="0095765D" w:rsidP="00F43D23">
      <w:pPr>
        <w:pStyle w:val="Caption"/>
        <w:spacing w:before="120" w:line="240" w:lineRule="auto"/>
        <w:rPr>
          <w:rFonts w:ascii="Arial" w:hAnsi="Arial" w:cs="Arial"/>
          <w:color w:val="auto"/>
        </w:rPr>
      </w:pPr>
      <w:bookmarkStart w:id="54" w:name="_Toc404780541"/>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18</w:t>
      </w:r>
      <w:r w:rsidRPr="002D6D71">
        <w:rPr>
          <w:rFonts w:ascii="Arial" w:hAnsi="Arial" w:cs="Arial"/>
          <w:color w:val="auto"/>
        </w:rPr>
        <w:fldChar w:fldCharType="end"/>
      </w:r>
      <w:r w:rsidRPr="002D6D71">
        <w:rPr>
          <w:rFonts w:ascii="Arial" w:hAnsi="Arial" w:cs="Arial"/>
          <w:color w:val="auto"/>
        </w:rPr>
        <w:t>: Embedded Generation</w:t>
      </w:r>
      <w:bookmarkEnd w:id="54"/>
    </w:p>
    <w:p w:rsidR="0095765D" w:rsidRDefault="0095765D" w:rsidP="0095765D">
      <w:pPr>
        <w:rPr>
          <w:lang w:val="en-GB"/>
        </w:rPr>
      </w:pPr>
      <w:r w:rsidRPr="00AC2557">
        <w:rPr>
          <w:noProof/>
        </w:rPr>
        <w:drawing>
          <wp:inline distT="0" distB="0" distL="0" distR="0" wp14:anchorId="0799DDBE" wp14:editId="34DC811D">
            <wp:extent cx="6057900" cy="278892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8586" cy="2789236"/>
                    </a:xfrm>
                    <a:prstGeom prst="rect">
                      <a:avLst/>
                    </a:prstGeom>
                    <a:noFill/>
                    <a:ln>
                      <a:noFill/>
                    </a:ln>
                    <a:effectLst/>
                    <a:extLst/>
                  </pic:spPr>
                </pic:pic>
              </a:graphicData>
            </a:graphic>
          </wp:inline>
        </w:drawing>
      </w:r>
    </w:p>
    <w:p w:rsidR="0095765D" w:rsidRPr="00C20AFA" w:rsidRDefault="0095765D" w:rsidP="0095765D">
      <w:pPr>
        <w:rPr>
          <w:sz w:val="22"/>
          <w:szCs w:val="22"/>
          <w:lang w:val="en-GB"/>
        </w:rPr>
      </w:pPr>
      <w:r w:rsidRPr="00C20AFA">
        <w:rPr>
          <w:sz w:val="22"/>
          <w:szCs w:val="22"/>
          <w:lang w:val="en-GB"/>
        </w:rPr>
        <w:t xml:space="preserve">The increasing number of renewable and cogeneration projects has also led to an increase in embedded generation i.e. distributed generation “behind the meter”. It is clear that this is another area which requires upskilling for regulators given the low ability scores. </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55" w:name="_Toc404780593"/>
      <w:bookmarkStart w:id="56" w:name="_Toc405470986"/>
      <w:r>
        <w:rPr>
          <w:lang w:val="en-GB"/>
        </w:rPr>
        <w:t>Technology Innovation</w:t>
      </w:r>
      <w:bookmarkEnd w:id="55"/>
      <w:bookmarkEnd w:id="56"/>
    </w:p>
    <w:p w:rsidR="0095765D" w:rsidRPr="002D6D71" w:rsidRDefault="0095765D" w:rsidP="00F43D23">
      <w:pPr>
        <w:pStyle w:val="Caption"/>
        <w:spacing w:before="120" w:line="240" w:lineRule="auto"/>
        <w:rPr>
          <w:rFonts w:ascii="Arial" w:hAnsi="Arial" w:cs="Arial"/>
          <w:color w:val="auto"/>
        </w:rPr>
      </w:pPr>
      <w:bookmarkStart w:id="57" w:name="_Toc404780542"/>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19</w:t>
      </w:r>
      <w:r w:rsidRPr="002D6D71">
        <w:rPr>
          <w:rFonts w:ascii="Arial" w:hAnsi="Arial" w:cs="Arial"/>
          <w:color w:val="auto"/>
        </w:rPr>
        <w:fldChar w:fldCharType="end"/>
      </w:r>
      <w:r w:rsidRPr="002D6D71">
        <w:rPr>
          <w:rFonts w:ascii="Arial" w:hAnsi="Arial" w:cs="Arial"/>
          <w:color w:val="auto"/>
        </w:rPr>
        <w:t>: Technology Innovation</w:t>
      </w:r>
      <w:bookmarkEnd w:id="57"/>
    </w:p>
    <w:p w:rsidR="0095765D" w:rsidRDefault="0095765D" w:rsidP="0095765D">
      <w:pPr>
        <w:spacing w:before="240"/>
        <w:rPr>
          <w:lang w:val="en-GB"/>
        </w:rPr>
      </w:pPr>
      <w:r w:rsidRPr="00AC2557">
        <w:rPr>
          <w:noProof/>
        </w:rPr>
        <w:drawing>
          <wp:inline distT="0" distB="0" distL="0" distR="0" wp14:anchorId="0A520D21" wp14:editId="08CE6B6E">
            <wp:extent cx="6047978" cy="271272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8586" cy="2717478"/>
                    </a:xfrm>
                    <a:prstGeom prst="rect">
                      <a:avLst/>
                    </a:prstGeom>
                    <a:noFill/>
                    <a:ln>
                      <a:noFill/>
                    </a:ln>
                    <a:effectLst/>
                    <a:extLst/>
                  </pic:spPr>
                </pic:pic>
              </a:graphicData>
            </a:graphic>
          </wp:inline>
        </w:drawing>
      </w:r>
    </w:p>
    <w:p w:rsidR="0095765D" w:rsidRPr="00C20AFA" w:rsidRDefault="0095765D" w:rsidP="0095765D">
      <w:pPr>
        <w:rPr>
          <w:sz w:val="22"/>
          <w:szCs w:val="22"/>
          <w:lang w:val="en-GB"/>
        </w:rPr>
      </w:pPr>
      <w:r w:rsidRPr="00C20AFA">
        <w:rPr>
          <w:sz w:val="22"/>
          <w:szCs w:val="22"/>
          <w:lang w:val="en-GB"/>
        </w:rPr>
        <w:t>This area scored lowest out of the entire survey. It could be argued that for many of the respondents, that electric vehicles are not currently significant; however smart grids &amp; meters as well as storage options will become critical in the medium term for most countries globally.</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58" w:name="_Toc404780594"/>
      <w:bookmarkStart w:id="59" w:name="_Toc405470987"/>
      <w:r>
        <w:rPr>
          <w:lang w:val="en-GB"/>
        </w:rPr>
        <w:lastRenderedPageBreak/>
        <w:t>Evolving Market Structure</w:t>
      </w:r>
      <w:bookmarkEnd w:id="58"/>
      <w:bookmarkEnd w:id="59"/>
    </w:p>
    <w:p w:rsidR="0095765D" w:rsidRPr="002D6D71" w:rsidRDefault="0095765D" w:rsidP="00F43D23">
      <w:pPr>
        <w:pStyle w:val="Caption"/>
        <w:spacing w:before="120" w:line="240" w:lineRule="auto"/>
        <w:rPr>
          <w:rFonts w:ascii="Arial" w:hAnsi="Arial" w:cs="Arial"/>
          <w:color w:val="auto"/>
        </w:rPr>
      </w:pPr>
      <w:bookmarkStart w:id="60" w:name="_Toc404780543"/>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20</w:t>
      </w:r>
      <w:r w:rsidRPr="002D6D71">
        <w:rPr>
          <w:rFonts w:ascii="Arial" w:hAnsi="Arial" w:cs="Arial"/>
          <w:color w:val="auto"/>
        </w:rPr>
        <w:fldChar w:fldCharType="end"/>
      </w:r>
      <w:r w:rsidRPr="002D6D71">
        <w:rPr>
          <w:rFonts w:ascii="Arial" w:hAnsi="Arial" w:cs="Arial"/>
          <w:color w:val="auto"/>
        </w:rPr>
        <w:t>: Evolving Market Structure</w:t>
      </w:r>
      <w:bookmarkEnd w:id="60"/>
    </w:p>
    <w:p w:rsidR="0095765D" w:rsidRDefault="0095765D" w:rsidP="0095765D">
      <w:pPr>
        <w:spacing w:before="240"/>
        <w:rPr>
          <w:lang w:val="en-GB"/>
        </w:rPr>
      </w:pPr>
      <w:r w:rsidRPr="00AC2557">
        <w:rPr>
          <w:noProof/>
        </w:rPr>
        <w:drawing>
          <wp:inline distT="0" distB="0" distL="0" distR="0" wp14:anchorId="71FC1687" wp14:editId="6EF92264">
            <wp:extent cx="6076950" cy="378142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8580" cy="3788662"/>
                    </a:xfrm>
                    <a:prstGeom prst="rect">
                      <a:avLst/>
                    </a:prstGeom>
                    <a:noFill/>
                    <a:ln>
                      <a:noFill/>
                    </a:ln>
                    <a:effectLst/>
                    <a:extLst/>
                  </pic:spPr>
                </pic:pic>
              </a:graphicData>
            </a:graphic>
          </wp:inline>
        </w:drawing>
      </w:r>
    </w:p>
    <w:p w:rsidR="004336A2" w:rsidRDefault="004336A2" w:rsidP="0095765D">
      <w:pPr>
        <w:rPr>
          <w:sz w:val="22"/>
          <w:szCs w:val="22"/>
          <w:lang w:val="en-GB"/>
        </w:rPr>
      </w:pPr>
    </w:p>
    <w:p w:rsidR="0095765D" w:rsidRPr="00C20AFA" w:rsidRDefault="0095765D" w:rsidP="0095765D">
      <w:pPr>
        <w:rPr>
          <w:sz w:val="22"/>
          <w:szCs w:val="22"/>
          <w:lang w:val="en-GB"/>
        </w:rPr>
      </w:pPr>
      <w:r w:rsidRPr="00C20AFA">
        <w:rPr>
          <w:sz w:val="22"/>
          <w:szCs w:val="22"/>
          <w:lang w:val="en-GB"/>
        </w:rPr>
        <w:t>There are several technical and commercial outcomes due to the evolving market structures currently taking place. As IPPs increase and procurement practices change, regulators will need to upskill in various areas. The scoring in this section indicates that once again there is a good high level understanding of the concepts, but no real ability to put these into practice. PPA terms, trading options and regional harmonisation scored the most poorly in terms of current ability.</w:t>
      </w:r>
    </w:p>
    <w:p w:rsidR="0095765D" w:rsidRDefault="0095765D" w:rsidP="0095765D">
      <w:pPr>
        <w:spacing w:after="0"/>
        <w:rPr>
          <w:lang w:val="en-GB"/>
        </w:rPr>
      </w:pPr>
      <w:r>
        <w:rPr>
          <w:lang w:val="en-GB"/>
        </w:rPr>
        <w:br w:type="page"/>
      </w:r>
    </w:p>
    <w:p w:rsidR="0095765D" w:rsidRPr="00C20AFA" w:rsidRDefault="0095765D" w:rsidP="00B86181">
      <w:pPr>
        <w:pStyle w:val="Heading2"/>
        <w:numPr>
          <w:ilvl w:val="0"/>
          <w:numId w:val="2"/>
        </w:numPr>
      </w:pPr>
      <w:bookmarkStart w:id="61" w:name="_Toc404780595"/>
      <w:bookmarkStart w:id="62" w:name="_Toc405470988"/>
      <w:r w:rsidRPr="00C20AFA">
        <w:lastRenderedPageBreak/>
        <w:t>Core Competencies</w:t>
      </w:r>
      <w:bookmarkEnd w:id="61"/>
      <w:bookmarkEnd w:id="62"/>
    </w:p>
    <w:p w:rsidR="0095765D" w:rsidRPr="00C20AFA" w:rsidRDefault="0095765D" w:rsidP="0095765D">
      <w:pPr>
        <w:rPr>
          <w:sz w:val="22"/>
          <w:szCs w:val="22"/>
          <w:lang w:val="en-GB"/>
        </w:rPr>
      </w:pPr>
      <w:r w:rsidRPr="00C20AFA">
        <w:rPr>
          <w:sz w:val="22"/>
          <w:szCs w:val="22"/>
          <w:lang w:val="en-GB"/>
        </w:rPr>
        <w:t>Along with measuring key focus areas of traditional and evolving regulation, the survey also tested each respondent’s core internal competencies</w:t>
      </w:r>
      <w:r w:rsidR="00C20AFA">
        <w:rPr>
          <w:sz w:val="22"/>
          <w:szCs w:val="22"/>
          <w:lang w:val="en-GB"/>
        </w:rPr>
        <w:t>,</w:t>
      </w:r>
      <w:r w:rsidRPr="00C20AFA">
        <w:rPr>
          <w:sz w:val="22"/>
          <w:szCs w:val="22"/>
          <w:lang w:val="en-GB"/>
        </w:rPr>
        <w:t xml:space="preserve"> i.e. those skills and abilities that can be used in a variety of different focus areas.</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63" w:name="_Toc404780596"/>
      <w:bookmarkStart w:id="64" w:name="_Toc405470989"/>
      <w:r>
        <w:rPr>
          <w:lang w:val="en-GB"/>
        </w:rPr>
        <w:t>Technical</w:t>
      </w:r>
      <w:bookmarkEnd w:id="63"/>
      <w:bookmarkEnd w:id="64"/>
    </w:p>
    <w:p w:rsidR="0095765D" w:rsidRPr="002D6D71" w:rsidRDefault="0095765D" w:rsidP="00F43D23">
      <w:pPr>
        <w:pStyle w:val="Caption"/>
        <w:spacing w:before="120" w:line="240" w:lineRule="auto"/>
        <w:rPr>
          <w:rFonts w:ascii="Arial" w:hAnsi="Arial" w:cs="Arial"/>
          <w:color w:val="auto"/>
        </w:rPr>
      </w:pPr>
      <w:bookmarkStart w:id="65" w:name="_Toc404780544"/>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21</w:t>
      </w:r>
      <w:r w:rsidRPr="002D6D71">
        <w:rPr>
          <w:rFonts w:ascii="Arial" w:hAnsi="Arial" w:cs="Arial"/>
          <w:color w:val="auto"/>
        </w:rPr>
        <w:fldChar w:fldCharType="end"/>
      </w:r>
      <w:r w:rsidRPr="002D6D71">
        <w:rPr>
          <w:rFonts w:ascii="Arial" w:hAnsi="Arial" w:cs="Arial"/>
          <w:color w:val="auto"/>
        </w:rPr>
        <w:t>: Technical Competencies</w:t>
      </w:r>
      <w:bookmarkEnd w:id="65"/>
    </w:p>
    <w:p w:rsidR="0095765D" w:rsidRDefault="0095765D" w:rsidP="0095765D">
      <w:pPr>
        <w:rPr>
          <w:lang w:val="en-GB"/>
        </w:rPr>
      </w:pPr>
      <w:r w:rsidRPr="002B09B0">
        <w:rPr>
          <w:noProof/>
        </w:rPr>
        <w:drawing>
          <wp:inline distT="0" distB="0" distL="0" distR="0" wp14:anchorId="66A93F27" wp14:editId="05E89982">
            <wp:extent cx="6126480" cy="3474720"/>
            <wp:effectExtent l="0" t="0" r="762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7174" cy="3475113"/>
                    </a:xfrm>
                    <a:prstGeom prst="rect">
                      <a:avLst/>
                    </a:prstGeom>
                    <a:noFill/>
                    <a:ln>
                      <a:noFill/>
                    </a:ln>
                    <a:effectLst/>
                    <a:extLst/>
                  </pic:spPr>
                </pic:pic>
              </a:graphicData>
            </a:graphic>
          </wp:inline>
        </w:drawing>
      </w:r>
    </w:p>
    <w:p w:rsidR="00AF5F5E" w:rsidRDefault="00AF5F5E" w:rsidP="0095765D">
      <w:pPr>
        <w:rPr>
          <w:sz w:val="22"/>
          <w:szCs w:val="22"/>
          <w:lang w:val="en-GB"/>
        </w:rPr>
      </w:pPr>
    </w:p>
    <w:p w:rsidR="0095765D" w:rsidRPr="00AF5F5E" w:rsidRDefault="0095765D" w:rsidP="0095765D">
      <w:pPr>
        <w:rPr>
          <w:sz w:val="22"/>
          <w:szCs w:val="22"/>
          <w:lang w:val="en-GB"/>
        </w:rPr>
      </w:pPr>
      <w:r w:rsidRPr="00AF5F5E">
        <w:rPr>
          <w:sz w:val="22"/>
          <w:szCs w:val="22"/>
          <w:lang w:val="en-GB"/>
        </w:rPr>
        <w:t>It is interesting to note the wide dispersion of skill levels across the various areas. As mentioned previously, there are clearly pools of skills in some areas and within some regulators, but no consistent skills level across all regulators.</w:t>
      </w:r>
    </w:p>
    <w:p w:rsidR="0095765D" w:rsidRPr="00AF5F5E" w:rsidRDefault="0095765D" w:rsidP="0095765D">
      <w:pPr>
        <w:rPr>
          <w:sz w:val="22"/>
          <w:szCs w:val="22"/>
          <w:lang w:val="en-GB"/>
        </w:rPr>
      </w:pPr>
      <w:r w:rsidRPr="00AF5F5E">
        <w:rPr>
          <w:sz w:val="22"/>
          <w:szCs w:val="22"/>
          <w:lang w:val="en-GB"/>
        </w:rPr>
        <w:t xml:space="preserve">There are few areas in which the majority of respondents answered with “expert” or “adequate” skill. It may be worthwhile to first target those areas where there is evidence of both “some” and “minimal” skill first. </w:t>
      </w:r>
    </w:p>
    <w:p w:rsidR="0095765D" w:rsidRPr="00AF5F5E" w:rsidRDefault="0095765D" w:rsidP="0095765D">
      <w:pPr>
        <w:rPr>
          <w:sz w:val="22"/>
          <w:szCs w:val="22"/>
          <w:lang w:val="en-GB"/>
        </w:rPr>
      </w:pPr>
      <w:r w:rsidRPr="00AF5F5E">
        <w:rPr>
          <w:sz w:val="22"/>
          <w:szCs w:val="22"/>
          <w:lang w:val="en-GB"/>
        </w:rPr>
        <w:t xml:space="preserve">Whilst some of the regulators feel that they have “adequate” skill, it is also not clear whether or not these skills are being used. In the case of </w:t>
      </w:r>
      <w:r w:rsidRPr="00AF5F5E">
        <w:rPr>
          <w:i/>
          <w:sz w:val="22"/>
          <w:szCs w:val="22"/>
          <w:lang w:val="en-GB"/>
        </w:rPr>
        <w:t>Long term price modelling</w:t>
      </w:r>
      <w:r w:rsidRPr="00AF5F5E">
        <w:rPr>
          <w:sz w:val="22"/>
          <w:szCs w:val="22"/>
          <w:lang w:val="en-GB"/>
        </w:rPr>
        <w:t>, almost half of the respondents felt they had adequate skill; however none of the RERA members publishes long term price projections.</w:t>
      </w:r>
    </w:p>
    <w:p w:rsidR="0095765D" w:rsidRPr="00AF5F5E" w:rsidRDefault="0095765D" w:rsidP="0095765D">
      <w:pPr>
        <w:rPr>
          <w:sz w:val="22"/>
          <w:szCs w:val="22"/>
          <w:lang w:val="en-GB"/>
        </w:rPr>
      </w:pPr>
      <w:r w:rsidRPr="00AF5F5E">
        <w:rPr>
          <w:sz w:val="22"/>
          <w:szCs w:val="22"/>
          <w:lang w:val="en-GB"/>
        </w:rPr>
        <w:t>Scheduling and dispatch is the weakest competency in this section.</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66" w:name="_Toc404780597"/>
      <w:bookmarkStart w:id="67" w:name="_Toc405470990"/>
      <w:r>
        <w:rPr>
          <w:lang w:val="en-GB"/>
        </w:rPr>
        <w:lastRenderedPageBreak/>
        <w:t>Financial &amp; Economic</w:t>
      </w:r>
      <w:bookmarkEnd w:id="66"/>
      <w:bookmarkEnd w:id="67"/>
      <w:r>
        <w:rPr>
          <w:lang w:val="en-GB"/>
        </w:rPr>
        <w:t xml:space="preserve"> </w:t>
      </w:r>
    </w:p>
    <w:p w:rsidR="0095765D" w:rsidRPr="002D6D71" w:rsidRDefault="0095765D" w:rsidP="00F43D23">
      <w:pPr>
        <w:pStyle w:val="Caption"/>
        <w:spacing w:before="120" w:line="240" w:lineRule="auto"/>
        <w:rPr>
          <w:rFonts w:ascii="Arial" w:hAnsi="Arial" w:cs="Arial"/>
          <w:color w:val="auto"/>
        </w:rPr>
      </w:pPr>
      <w:bookmarkStart w:id="68" w:name="_Toc404780545"/>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22</w:t>
      </w:r>
      <w:r w:rsidRPr="002D6D71">
        <w:rPr>
          <w:rFonts w:ascii="Arial" w:hAnsi="Arial" w:cs="Arial"/>
          <w:color w:val="auto"/>
        </w:rPr>
        <w:fldChar w:fldCharType="end"/>
      </w:r>
      <w:r w:rsidRPr="002D6D71">
        <w:rPr>
          <w:rFonts w:ascii="Arial" w:hAnsi="Arial" w:cs="Arial"/>
          <w:color w:val="auto"/>
        </w:rPr>
        <w:t>: Financial &amp; Economic Competence</w:t>
      </w:r>
      <w:bookmarkEnd w:id="68"/>
    </w:p>
    <w:p w:rsidR="0095765D" w:rsidRDefault="0095765D" w:rsidP="0095765D">
      <w:pPr>
        <w:spacing w:before="240"/>
        <w:rPr>
          <w:lang w:val="en-GB"/>
        </w:rPr>
      </w:pPr>
      <w:r w:rsidRPr="002B09B0">
        <w:rPr>
          <w:noProof/>
        </w:rPr>
        <w:drawing>
          <wp:inline distT="0" distB="0" distL="0" distR="0" wp14:anchorId="4755B7A4" wp14:editId="3E72D6E2">
            <wp:extent cx="6172200" cy="3286125"/>
            <wp:effectExtent l="0" t="0" r="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297" cy="3290968"/>
                    </a:xfrm>
                    <a:prstGeom prst="rect">
                      <a:avLst/>
                    </a:prstGeom>
                    <a:noFill/>
                    <a:ln>
                      <a:noFill/>
                    </a:ln>
                    <a:effectLst/>
                    <a:extLst/>
                  </pic:spPr>
                </pic:pic>
              </a:graphicData>
            </a:graphic>
          </wp:inline>
        </w:drawing>
      </w:r>
    </w:p>
    <w:p w:rsidR="0095765D" w:rsidRPr="00AF5F5E" w:rsidRDefault="0095765D" w:rsidP="0095765D">
      <w:pPr>
        <w:rPr>
          <w:sz w:val="22"/>
          <w:szCs w:val="22"/>
          <w:lang w:val="en-GB"/>
        </w:rPr>
      </w:pPr>
      <w:r w:rsidRPr="00AF5F5E">
        <w:rPr>
          <w:sz w:val="22"/>
          <w:szCs w:val="22"/>
          <w:lang w:val="en-GB"/>
        </w:rPr>
        <w:t xml:space="preserve">Once again, It is clear from the distribution of responses that skills levels vary significantly between RERA members – each of the areas surveyed has some response of “minimal” or “some” skills. </w:t>
      </w:r>
      <w:r w:rsidRPr="00AF5F5E">
        <w:rPr>
          <w:i/>
          <w:sz w:val="22"/>
          <w:szCs w:val="22"/>
          <w:lang w:val="en-GB"/>
        </w:rPr>
        <w:t xml:space="preserve">Determination of the Cost of Capital </w:t>
      </w:r>
      <w:r w:rsidRPr="00AF5F5E">
        <w:rPr>
          <w:sz w:val="22"/>
          <w:szCs w:val="22"/>
          <w:lang w:val="en-GB"/>
        </w:rPr>
        <w:t>stand</w:t>
      </w:r>
      <w:r w:rsidR="00AF5F5E">
        <w:rPr>
          <w:sz w:val="22"/>
          <w:szCs w:val="22"/>
          <w:lang w:val="en-GB"/>
        </w:rPr>
        <w:t>s</w:t>
      </w:r>
      <w:r w:rsidRPr="00AF5F5E">
        <w:rPr>
          <w:sz w:val="22"/>
          <w:szCs w:val="22"/>
          <w:lang w:val="en-GB"/>
        </w:rPr>
        <w:t xml:space="preserve"> out as a strong are of financial and economic competence. All the other areas require some support – special attention should be given to Impact of regulatory decisions, which is also linked to our earlier comments on socio-economic impacts and policy trade-offs.</w:t>
      </w:r>
    </w:p>
    <w:p w:rsidR="0095765D" w:rsidRPr="00AF5F5E" w:rsidRDefault="0095765D" w:rsidP="0095765D">
      <w:pPr>
        <w:rPr>
          <w:sz w:val="22"/>
          <w:szCs w:val="22"/>
          <w:lang w:val="en-GB"/>
        </w:rPr>
      </w:pPr>
      <w:r w:rsidRPr="00AF5F5E">
        <w:rPr>
          <w:sz w:val="22"/>
          <w:szCs w:val="22"/>
          <w:lang w:val="en-GB"/>
        </w:rPr>
        <w:t>Overall this area has low levels of competence.</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69" w:name="_Toc404780598"/>
      <w:bookmarkStart w:id="70" w:name="_Toc405470991"/>
      <w:r>
        <w:rPr>
          <w:lang w:val="en-GB"/>
        </w:rPr>
        <w:t>General Business</w:t>
      </w:r>
      <w:bookmarkEnd w:id="69"/>
      <w:bookmarkEnd w:id="70"/>
    </w:p>
    <w:p w:rsidR="0095765D" w:rsidRPr="002D6D71" w:rsidRDefault="0095765D" w:rsidP="00F43D23">
      <w:pPr>
        <w:pStyle w:val="Caption"/>
        <w:spacing w:before="120" w:line="240" w:lineRule="auto"/>
        <w:rPr>
          <w:rFonts w:ascii="Arial" w:hAnsi="Arial" w:cs="Arial"/>
          <w:color w:val="auto"/>
        </w:rPr>
      </w:pPr>
      <w:bookmarkStart w:id="71" w:name="_Toc404780546"/>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23</w:t>
      </w:r>
      <w:r w:rsidRPr="002D6D71">
        <w:rPr>
          <w:rFonts w:ascii="Arial" w:hAnsi="Arial" w:cs="Arial"/>
          <w:color w:val="auto"/>
        </w:rPr>
        <w:fldChar w:fldCharType="end"/>
      </w:r>
      <w:r w:rsidRPr="002D6D71">
        <w:rPr>
          <w:rFonts w:ascii="Arial" w:hAnsi="Arial" w:cs="Arial"/>
          <w:color w:val="auto"/>
        </w:rPr>
        <w:t>: General Business Competence</w:t>
      </w:r>
      <w:bookmarkEnd w:id="71"/>
    </w:p>
    <w:p w:rsidR="0095765D" w:rsidRDefault="0095765D" w:rsidP="0095765D">
      <w:pPr>
        <w:rPr>
          <w:lang w:val="en-GB"/>
        </w:rPr>
      </w:pPr>
      <w:r w:rsidRPr="00004755">
        <w:rPr>
          <w:noProof/>
        </w:rPr>
        <w:drawing>
          <wp:inline distT="0" distB="0" distL="0" distR="0" wp14:anchorId="56AA80CE" wp14:editId="661C3D78">
            <wp:extent cx="6118860" cy="2392680"/>
            <wp:effectExtent l="0" t="0" r="0" b="762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9880" cy="2396989"/>
                    </a:xfrm>
                    <a:prstGeom prst="rect">
                      <a:avLst/>
                    </a:prstGeom>
                    <a:noFill/>
                    <a:ln>
                      <a:noFill/>
                    </a:ln>
                    <a:effectLst/>
                    <a:extLst/>
                  </pic:spPr>
                </pic:pic>
              </a:graphicData>
            </a:graphic>
          </wp:inline>
        </w:drawing>
      </w:r>
    </w:p>
    <w:p w:rsidR="0095765D" w:rsidRDefault="0095765D" w:rsidP="0095765D">
      <w:pPr>
        <w:rPr>
          <w:lang w:val="en-GB"/>
        </w:rPr>
      </w:pPr>
      <w:r w:rsidRPr="00AF5F5E">
        <w:rPr>
          <w:sz w:val="22"/>
          <w:szCs w:val="22"/>
          <w:lang w:val="en-GB"/>
        </w:rPr>
        <w:t>Overall this area ha</w:t>
      </w:r>
      <w:r w:rsidR="00AF5F5E">
        <w:rPr>
          <w:sz w:val="22"/>
          <w:szCs w:val="22"/>
          <w:lang w:val="en-GB"/>
        </w:rPr>
        <w:t>s relatively strong competency,</w:t>
      </w:r>
      <w:r w:rsidRPr="00AF5F5E">
        <w:rPr>
          <w:sz w:val="22"/>
          <w:szCs w:val="22"/>
          <w:lang w:val="en-GB"/>
        </w:rPr>
        <w:t xml:space="preserve"> although not amongst all regulators. </w:t>
      </w:r>
      <w:r w:rsidRPr="00AF5F5E">
        <w:rPr>
          <w:i/>
          <w:sz w:val="22"/>
          <w:szCs w:val="22"/>
          <w:lang w:val="en-GB"/>
        </w:rPr>
        <w:t>Stakeholder Management</w:t>
      </w:r>
      <w:r w:rsidRPr="00AF5F5E">
        <w:rPr>
          <w:sz w:val="22"/>
          <w:szCs w:val="22"/>
          <w:lang w:val="en-GB"/>
        </w:rPr>
        <w:t xml:space="preserve"> and </w:t>
      </w:r>
      <w:r w:rsidRPr="00AF5F5E">
        <w:rPr>
          <w:i/>
          <w:sz w:val="22"/>
          <w:szCs w:val="22"/>
          <w:lang w:val="en-GB"/>
        </w:rPr>
        <w:t>Advisory Services</w:t>
      </w:r>
      <w:r w:rsidRPr="00AF5F5E">
        <w:rPr>
          <w:sz w:val="22"/>
          <w:szCs w:val="22"/>
          <w:lang w:val="en-GB"/>
        </w:rPr>
        <w:t xml:space="preserve"> seem to require the most immediate attention.</w:t>
      </w:r>
      <w:r>
        <w:rPr>
          <w:lang w:val="en-GB"/>
        </w:rPr>
        <w:br w:type="page"/>
      </w:r>
    </w:p>
    <w:p w:rsidR="0095765D" w:rsidRPr="00AF5F5E" w:rsidRDefault="0095765D" w:rsidP="00B86181">
      <w:pPr>
        <w:pStyle w:val="Heading2"/>
        <w:numPr>
          <w:ilvl w:val="0"/>
          <w:numId w:val="2"/>
        </w:numPr>
      </w:pPr>
      <w:bookmarkStart w:id="72" w:name="_Toc404780599"/>
      <w:bookmarkStart w:id="73" w:name="_Toc405470992"/>
      <w:r w:rsidRPr="00AF5F5E">
        <w:lastRenderedPageBreak/>
        <w:t>Alignment with Regulatory Principles</w:t>
      </w:r>
      <w:bookmarkEnd w:id="72"/>
      <w:bookmarkEnd w:id="73"/>
    </w:p>
    <w:p w:rsidR="0095765D" w:rsidRDefault="0095765D" w:rsidP="0095765D">
      <w:pPr>
        <w:rPr>
          <w:sz w:val="22"/>
          <w:szCs w:val="22"/>
          <w:lang w:val="en-GB"/>
        </w:rPr>
      </w:pPr>
      <w:r w:rsidRPr="00AF5F5E">
        <w:rPr>
          <w:sz w:val="22"/>
          <w:szCs w:val="22"/>
          <w:lang w:val="en-GB"/>
        </w:rPr>
        <w:t>As a final question, respondents were asked to measure their alignment with key regulatory principles as has been discussed previously within RERA.</w:t>
      </w:r>
    </w:p>
    <w:p w:rsidR="00AF5F5E" w:rsidRPr="00AF5F5E" w:rsidRDefault="00AF5F5E" w:rsidP="0095765D">
      <w:pPr>
        <w:rPr>
          <w:sz w:val="22"/>
          <w:szCs w:val="22"/>
          <w:lang w:val="en-GB"/>
        </w:rPr>
      </w:pPr>
    </w:p>
    <w:p w:rsidR="0095765D" w:rsidRPr="002D6D71" w:rsidRDefault="0095765D" w:rsidP="00F43D23">
      <w:pPr>
        <w:pStyle w:val="Caption"/>
        <w:spacing w:before="120" w:line="240" w:lineRule="auto"/>
        <w:rPr>
          <w:rFonts w:ascii="Arial" w:hAnsi="Arial" w:cs="Arial"/>
          <w:color w:val="auto"/>
        </w:rPr>
      </w:pPr>
      <w:bookmarkStart w:id="74" w:name="_Toc404780547"/>
      <w:r w:rsidRPr="002D6D71">
        <w:rPr>
          <w:rFonts w:ascii="Arial" w:hAnsi="Arial" w:cs="Arial"/>
          <w:color w:val="auto"/>
        </w:rPr>
        <w:t xml:space="preserve">Figure </w:t>
      </w:r>
      <w:r w:rsidRPr="002D6D71">
        <w:rPr>
          <w:rFonts w:ascii="Arial" w:hAnsi="Arial" w:cs="Arial"/>
          <w:color w:val="auto"/>
        </w:rPr>
        <w:fldChar w:fldCharType="begin"/>
      </w:r>
      <w:r w:rsidRPr="002D6D71">
        <w:rPr>
          <w:rFonts w:ascii="Arial" w:hAnsi="Arial" w:cs="Arial"/>
          <w:color w:val="auto"/>
        </w:rPr>
        <w:instrText xml:space="preserve"> SEQ Figure \* ARABIC </w:instrText>
      </w:r>
      <w:r w:rsidRPr="002D6D71">
        <w:rPr>
          <w:rFonts w:ascii="Arial" w:hAnsi="Arial" w:cs="Arial"/>
          <w:color w:val="auto"/>
        </w:rPr>
        <w:fldChar w:fldCharType="separate"/>
      </w:r>
      <w:r w:rsidRPr="002D6D71">
        <w:rPr>
          <w:rFonts w:ascii="Arial" w:hAnsi="Arial" w:cs="Arial"/>
          <w:color w:val="auto"/>
        </w:rPr>
        <w:t>24</w:t>
      </w:r>
      <w:r w:rsidRPr="002D6D71">
        <w:rPr>
          <w:rFonts w:ascii="Arial" w:hAnsi="Arial" w:cs="Arial"/>
          <w:color w:val="auto"/>
        </w:rPr>
        <w:fldChar w:fldCharType="end"/>
      </w:r>
      <w:r w:rsidRPr="002D6D71">
        <w:rPr>
          <w:rFonts w:ascii="Arial" w:hAnsi="Arial" w:cs="Arial"/>
          <w:color w:val="auto"/>
        </w:rPr>
        <w:t>: Alignment with regulatory principles</w:t>
      </w:r>
      <w:bookmarkEnd w:id="74"/>
    </w:p>
    <w:p w:rsidR="0095765D" w:rsidRDefault="0095765D" w:rsidP="0095765D">
      <w:pPr>
        <w:spacing w:before="240"/>
        <w:rPr>
          <w:lang w:val="en-GB"/>
        </w:rPr>
      </w:pPr>
      <w:r w:rsidRPr="00061257">
        <w:rPr>
          <w:noProof/>
        </w:rPr>
        <w:drawing>
          <wp:inline distT="0" distB="0" distL="0" distR="0" wp14:anchorId="646F0E3E" wp14:editId="13823EB6">
            <wp:extent cx="6096000" cy="339852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7812" cy="3399530"/>
                    </a:xfrm>
                    <a:prstGeom prst="rect">
                      <a:avLst/>
                    </a:prstGeom>
                    <a:noFill/>
                    <a:ln>
                      <a:noFill/>
                    </a:ln>
                    <a:effectLst/>
                    <a:extLst/>
                  </pic:spPr>
                </pic:pic>
              </a:graphicData>
            </a:graphic>
          </wp:inline>
        </w:drawing>
      </w:r>
    </w:p>
    <w:p w:rsidR="00422410" w:rsidRDefault="00422410" w:rsidP="0095765D">
      <w:pPr>
        <w:rPr>
          <w:sz w:val="22"/>
          <w:szCs w:val="22"/>
          <w:lang w:val="en-GB"/>
        </w:rPr>
      </w:pPr>
    </w:p>
    <w:p w:rsidR="0095765D" w:rsidRPr="00422410" w:rsidRDefault="0095765D" w:rsidP="0095765D">
      <w:pPr>
        <w:rPr>
          <w:sz w:val="22"/>
          <w:szCs w:val="22"/>
          <w:lang w:val="en-GB"/>
        </w:rPr>
      </w:pPr>
      <w:r w:rsidRPr="00422410">
        <w:rPr>
          <w:sz w:val="22"/>
          <w:szCs w:val="22"/>
          <w:lang w:val="en-GB"/>
        </w:rPr>
        <w:t xml:space="preserve">Across all the principles there are respondents that feel they have little alignment with these principles – this is due to a number of reasons including political involvement, the varying weights placed on particular issues by the different stakeholders involved and the tension between policy, regulation and legislation which are often misaligned. </w:t>
      </w:r>
    </w:p>
    <w:p w:rsidR="0095765D" w:rsidRPr="00422410" w:rsidRDefault="0095765D" w:rsidP="0095765D">
      <w:pPr>
        <w:rPr>
          <w:sz w:val="22"/>
          <w:szCs w:val="22"/>
          <w:lang w:val="en-GB"/>
        </w:rPr>
      </w:pPr>
      <w:r w:rsidRPr="00422410">
        <w:rPr>
          <w:sz w:val="22"/>
          <w:szCs w:val="22"/>
          <w:lang w:val="en-GB"/>
        </w:rPr>
        <w:t xml:space="preserve">It is not clear that these issues can be addressed via a training program; however it is worth noting that with on-going training and empowerment of regulators, this misalignment should decrease over time. </w:t>
      </w:r>
    </w:p>
    <w:p w:rsidR="0095765D" w:rsidRDefault="0095765D" w:rsidP="0095765D">
      <w:pPr>
        <w:spacing w:after="0"/>
        <w:rPr>
          <w:lang w:val="en-GB"/>
        </w:rPr>
      </w:pPr>
      <w:r>
        <w:rPr>
          <w:lang w:val="en-GB"/>
        </w:rPr>
        <w:br w:type="page"/>
      </w:r>
    </w:p>
    <w:p w:rsidR="0095765D" w:rsidRPr="00422410" w:rsidRDefault="0095765D" w:rsidP="00B86181">
      <w:pPr>
        <w:pStyle w:val="Heading2"/>
        <w:numPr>
          <w:ilvl w:val="0"/>
          <w:numId w:val="2"/>
        </w:numPr>
      </w:pPr>
      <w:bookmarkStart w:id="75" w:name="_Toc404780600"/>
      <w:bookmarkStart w:id="76" w:name="_Toc405470993"/>
      <w:r w:rsidRPr="00422410">
        <w:lastRenderedPageBreak/>
        <w:t>Conclusions and Recommendations</w:t>
      </w:r>
      <w:bookmarkEnd w:id="75"/>
      <w:bookmarkEnd w:id="76"/>
    </w:p>
    <w:p w:rsidR="0095765D" w:rsidRPr="00422410" w:rsidRDefault="0095765D" w:rsidP="0095765D">
      <w:pPr>
        <w:rPr>
          <w:sz w:val="22"/>
          <w:szCs w:val="22"/>
          <w:lang w:val="en-GB"/>
        </w:rPr>
      </w:pPr>
      <w:r w:rsidRPr="00422410">
        <w:rPr>
          <w:sz w:val="22"/>
          <w:szCs w:val="22"/>
          <w:lang w:val="en-GB"/>
        </w:rPr>
        <w:t xml:space="preserve">The survey was completed by all respondents and with almost all areas fully completed. From this point of view, the survey can be said to be fully representative of the RERA members. This is positive as it provides a means of creating a benchmark to measure future improvements as a </w:t>
      </w:r>
      <w:r w:rsidR="00422410">
        <w:rPr>
          <w:sz w:val="22"/>
          <w:szCs w:val="22"/>
          <w:lang w:val="en-GB"/>
        </w:rPr>
        <w:t>result of any training program</w:t>
      </w:r>
      <w:r w:rsidRPr="00422410">
        <w:rPr>
          <w:sz w:val="22"/>
          <w:szCs w:val="22"/>
          <w:lang w:val="en-GB"/>
        </w:rPr>
        <w:t xml:space="preserve"> implemented. In order to measure progress and ensure that training material is relevant this survey should be run on an annual or bi-annual basis.</w:t>
      </w:r>
    </w:p>
    <w:p w:rsidR="0095765D" w:rsidRDefault="00422410"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77" w:name="_Toc404780601"/>
      <w:bookmarkStart w:id="78" w:name="_Toc405470994"/>
      <w:r>
        <w:rPr>
          <w:lang w:val="en-GB"/>
        </w:rPr>
        <w:t>Training Program</w:t>
      </w:r>
      <w:r w:rsidR="0095765D">
        <w:rPr>
          <w:lang w:val="en-GB"/>
        </w:rPr>
        <w:t xml:space="preserve"> Sustainability</w:t>
      </w:r>
      <w:bookmarkEnd w:id="77"/>
      <w:bookmarkEnd w:id="78"/>
    </w:p>
    <w:p w:rsidR="00422410" w:rsidRDefault="00422410" w:rsidP="0095765D">
      <w:pPr>
        <w:rPr>
          <w:sz w:val="22"/>
          <w:szCs w:val="22"/>
          <w:lang w:val="en-GB"/>
        </w:rPr>
      </w:pPr>
      <w:r>
        <w:rPr>
          <w:sz w:val="22"/>
          <w:szCs w:val="22"/>
          <w:lang w:val="en-GB"/>
        </w:rPr>
        <w:t xml:space="preserve">The survey and present capacity needs assessment were undertaken as part of institutionalizing a sustainable long term training program within RERA. </w:t>
      </w:r>
      <w:r w:rsidR="0095765D" w:rsidRPr="00422410">
        <w:rPr>
          <w:sz w:val="22"/>
          <w:szCs w:val="22"/>
          <w:lang w:val="en-GB"/>
        </w:rPr>
        <w:t>The following table describes the process required to ensure this training progr</w:t>
      </w:r>
      <w:r>
        <w:rPr>
          <w:sz w:val="22"/>
          <w:szCs w:val="22"/>
          <w:lang w:val="en-GB"/>
        </w:rPr>
        <w:t>am’s longer term sustainability.</w:t>
      </w:r>
    </w:p>
    <w:p w:rsidR="009E56BE" w:rsidRPr="00422410" w:rsidRDefault="009E56BE" w:rsidP="0095765D">
      <w:pPr>
        <w:rPr>
          <w:sz w:val="22"/>
          <w:szCs w:val="22"/>
          <w:lang w:val="en-GB"/>
        </w:rPr>
      </w:pPr>
    </w:p>
    <w:p w:rsidR="0095765D" w:rsidRPr="00422410" w:rsidRDefault="0095765D" w:rsidP="00422410">
      <w:pPr>
        <w:pStyle w:val="Caption"/>
        <w:spacing w:before="120" w:line="240" w:lineRule="auto"/>
        <w:rPr>
          <w:rFonts w:ascii="Arial" w:hAnsi="Arial" w:cs="Arial"/>
          <w:color w:val="auto"/>
        </w:rPr>
      </w:pPr>
    </w:p>
    <w:tbl>
      <w:tblPr>
        <w:tblStyle w:val="MediumList1-Accent1"/>
        <w:tblW w:w="0" w:type="auto"/>
        <w:tblLook w:val="0420" w:firstRow="1" w:lastRow="0" w:firstColumn="0" w:lastColumn="0" w:noHBand="0" w:noVBand="1"/>
      </w:tblPr>
      <w:tblGrid>
        <w:gridCol w:w="959"/>
        <w:gridCol w:w="3698"/>
        <w:gridCol w:w="4395"/>
      </w:tblGrid>
      <w:tr w:rsidR="0095765D" w:rsidRPr="00422410" w:rsidTr="00422410">
        <w:trPr>
          <w:cnfStyle w:val="100000000000" w:firstRow="1" w:lastRow="0" w:firstColumn="0" w:lastColumn="0" w:oddVBand="0" w:evenVBand="0" w:oddHBand="0" w:evenHBand="0" w:firstRowFirstColumn="0" w:firstRowLastColumn="0" w:lastRowFirstColumn="0" w:lastRowLastColumn="0"/>
        </w:trPr>
        <w:tc>
          <w:tcPr>
            <w:tcW w:w="959" w:type="dxa"/>
          </w:tcPr>
          <w:p w:rsidR="0095765D" w:rsidRPr="00422410" w:rsidRDefault="0095765D" w:rsidP="000F49DA">
            <w:pPr>
              <w:spacing w:after="0"/>
              <w:rPr>
                <w:b/>
                <w:sz w:val="22"/>
                <w:szCs w:val="22"/>
                <w:lang w:val="en-GB"/>
              </w:rPr>
            </w:pPr>
          </w:p>
        </w:tc>
        <w:tc>
          <w:tcPr>
            <w:tcW w:w="3698" w:type="dxa"/>
          </w:tcPr>
          <w:p w:rsidR="0095765D" w:rsidRPr="00422410" w:rsidRDefault="0095765D" w:rsidP="000F49DA">
            <w:pPr>
              <w:spacing w:after="0"/>
              <w:rPr>
                <w:b/>
                <w:sz w:val="22"/>
                <w:szCs w:val="22"/>
                <w:lang w:val="en-GB"/>
              </w:rPr>
            </w:pPr>
            <w:r w:rsidRPr="00422410">
              <w:rPr>
                <w:b/>
                <w:sz w:val="22"/>
                <w:szCs w:val="22"/>
                <w:lang w:val="en-GB"/>
              </w:rPr>
              <w:t>Steps</w:t>
            </w:r>
          </w:p>
        </w:tc>
        <w:tc>
          <w:tcPr>
            <w:tcW w:w="4395" w:type="dxa"/>
          </w:tcPr>
          <w:p w:rsidR="0095765D" w:rsidRDefault="0095765D" w:rsidP="000F49DA">
            <w:pPr>
              <w:spacing w:after="0"/>
              <w:rPr>
                <w:b/>
                <w:sz w:val="22"/>
                <w:szCs w:val="22"/>
                <w:lang w:val="en-GB"/>
              </w:rPr>
            </w:pPr>
            <w:r w:rsidRPr="00422410">
              <w:rPr>
                <w:b/>
                <w:sz w:val="22"/>
                <w:szCs w:val="22"/>
                <w:lang w:val="en-GB"/>
              </w:rPr>
              <w:t>Comment</w:t>
            </w:r>
          </w:p>
          <w:p w:rsidR="009E56BE" w:rsidRPr="00422410" w:rsidRDefault="009E56BE" w:rsidP="000F49DA">
            <w:pPr>
              <w:spacing w:after="0"/>
              <w:rPr>
                <w:b/>
                <w:sz w:val="22"/>
                <w:szCs w:val="22"/>
                <w:lang w:val="en-GB"/>
              </w:rPr>
            </w:pPr>
          </w:p>
        </w:tc>
      </w:tr>
      <w:tr w:rsidR="0095765D" w:rsidRPr="00422410" w:rsidTr="00422410">
        <w:trPr>
          <w:cnfStyle w:val="000000100000" w:firstRow="0" w:lastRow="0" w:firstColumn="0" w:lastColumn="0" w:oddVBand="0" w:evenVBand="0" w:oddHBand="1" w:evenHBand="0" w:firstRowFirstColumn="0" w:firstRowLastColumn="0" w:lastRowFirstColumn="0" w:lastRowLastColumn="0"/>
        </w:trPr>
        <w:tc>
          <w:tcPr>
            <w:tcW w:w="959" w:type="dxa"/>
          </w:tcPr>
          <w:p w:rsidR="0095765D" w:rsidRPr="00422410" w:rsidRDefault="0095765D" w:rsidP="000F49DA">
            <w:pPr>
              <w:spacing w:after="0"/>
              <w:rPr>
                <w:sz w:val="22"/>
                <w:szCs w:val="22"/>
                <w:lang w:val="en-GB"/>
              </w:rPr>
            </w:pPr>
            <w:r w:rsidRPr="00422410">
              <w:rPr>
                <w:sz w:val="22"/>
                <w:szCs w:val="22"/>
                <w:lang w:val="en-GB"/>
              </w:rPr>
              <w:t>1</w:t>
            </w:r>
          </w:p>
        </w:tc>
        <w:tc>
          <w:tcPr>
            <w:tcW w:w="3698" w:type="dxa"/>
          </w:tcPr>
          <w:p w:rsidR="0095765D" w:rsidRPr="00422410" w:rsidRDefault="0095765D" w:rsidP="000F49DA">
            <w:pPr>
              <w:spacing w:after="0"/>
              <w:rPr>
                <w:sz w:val="22"/>
                <w:szCs w:val="22"/>
                <w:lang w:val="en-GB"/>
              </w:rPr>
            </w:pPr>
            <w:r w:rsidRPr="00422410">
              <w:rPr>
                <w:sz w:val="22"/>
                <w:szCs w:val="22"/>
                <w:lang w:val="en-GB"/>
              </w:rPr>
              <w:t>Use survey results to identify specific training interventions</w:t>
            </w:r>
            <w:r w:rsidR="00422410">
              <w:rPr>
                <w:sz w:val="22"/>
                <w:szCs w:val="22"/>
                <w:lang w:val="en-GB"/>
              </w:rPr>
              <w:t>.</w:t>
            </w:r>
          </w:p>
        </w:tc>
        <w:tc>
          <w:tcPr>
            <w:tcW w:w="4395" w:type="dxa"/>
          </w:tcPr>
          <w:p w:rsidR="0095765D" w:rsidRDefault="0095765D" w:rsidP="000F49DA">
            <w:pPr>
              <w:spacing w:after="0"/>
              <w:rPr>
                <w:sz w:val="22"/>
                <w:szCs w:val="22"/>
                <w:lang w:val="en-GB"/>
              </w:rPr>
            </w:pPr>
            <w:r w:rsidRPr="00422410">
              <w:rPr>
                <w:sz w:val="22"/>
                <w:szCs w:val="22"/>
                <w:lang w:val="en-GB"/>
              </w:rPr>
              <w:t>Completed – results to be disseminated to RERA members via final report and presentation.</w:t>
            </w:r>
          </w:p>
          <w:p w:rsidR="00422410" w:rsidRPr="00422410" w:rsidRDefault="00422410" w:rsidP="000F49DA">
            <w:pPr>
              <w:spacing w:after="0"/>
              <w:rPr>
                <w:sz w:val="22"/>
                <w:szCs w:val="22"/>
                <w:lang w:val="en-GB"/>
              </w:rPr>
            </w:pPr>
          </w:p>
        </w:tc>
      </w:tr>
      <w:tr w:rsidR="0095765D" w:rsidRPr="00422410" w:rsidTr="00422410">
        <w:tc>
          <w:tcPr>
            <w:tcW w:w="959" w:type="dxa"/>
          </w:tcPr>
          <w:p w:rsidR="0095765D" w:rsidRPr="00422410" w:rsidRDefault="0095765D" w:rsidP="000F49DA">
            <w:pPr>
              <w:spacing w:after="0"/>
              <w:rPr>
                <w:sz w:val="22"/>
                <w:szCs w:val="22"/>
                <w:lang w:val="en-GB"/>
              </w:rPr>
            </w:pPr>
            <w:r w:rsidRPr="00422410">
              <w:rPr>
                <w:sz w:val="22"/>
                <w:szCs w:val="22"/>
                <w:lang w:val="en-GB"/>
              </w:rPr>
              <w:t>2</w:t>
            </w:r>
          </w:p>
        </w:tc>
        <w:tc>
          <w:tcPr>
            <w:tcW w:w="3698" w:type="dxa"/>
          </w:tcPr>
          <w:p w:rsidR="0095765D" w:rsidRDefault="0095765D" w:rsidP="000F49DA">
            <w:pPr>
              <w:spacing w:after="0"/>
              <w:rPr>
                <w:sz w:val="22"/>
                <w:szCs w:val="22"/>
                <w:lang w:val="en-GB"/>
              </w:rPr>
            </w:pPr>
            <w:r w:rsidRPr="00422410">
              <w:rPr>
                <w:sz w:val="22"/>
                <w:szCs w:val="22"/>
                <w:lang w:val="en-GB"/>
              </w:rPr>
              <w:t>Secure funding for development, scheduling and delivering of training programs</w:t>
            </w:r>
            <w:r w:rsidR="00422410">
              <w:rPr>
                <w:sz w:val="22"/>
                <w:szCs w:val="22"/>
                <w:lang w:val="en-GB"/>
              </w:rPr>
              <w:t>.</w:t>
            </w:r>
          </w:p>
          <w:p w:rsidR="00422410" w:rsidRPr="00422410" w:rsidRDefault="00422410" w:rsidP="000F49DA">
            <w:pPr>
              <w:spacing w:after="0"/>
              <w:rPr>
                <w:sz w:val="22"/>
                <w:szCs w:val="22"/>
                <w:lang w:val="en-GB"/>
              </w:rPr>
            </w:pPr>
          </w:p>
        </w:tc>
        <w:tc>
          <w:tcPr>
            <w:tcW w:w="4395" w:type="dxa"/>
          </w:tcPr>
          <w:p w:rsidR="0095765D" w:rsidRPr="00422410" w:rsidRDefault="0095765D" w:rsidP="000F49DA">
            <w:pPr>
              <w:spacing w:after="0"/>
              <w:rPr>
                <w:sz w:val="22"/>
                <w:szCs w:val="22"/>
                <w:lang w:val="en-GB"/>
              </w:rPr>
            </w:pPr>
            <w:r w:rsidRPr="00422410">
              <w:rPr>
                <w:sz w:val="22"/>
                <w:szCs w:val="22"/>
                <w:lang w:val="en-GB"/>
              </w:rPr>
              <w:t>Next step to be undertaken by RERA</w:t>
            </w:r>
          </w:p>
        </w:tc>
      </w:tr>
      <w:tr w:rsidR="0095765D" w:rsidRPr="00422410" w:rsidTr="00422410">
        <w:trPr>
          <w:cnfStyle w:val="000000100000" w:firstRow="0" w:lastRow="0" w:firstColumn="0" w:lastColumn="0" w:oddVBand="0" w:evenVBand="0" w:oddHBand="1" w:evenHBand="0" w:firstRowFirstColumn="0" w:firstRowLastColumn="0" w:lastRowFirstColumn="0" w:lastRowLastColumn="0"/>
        </w:trPr>
        <w:tc>
          <w:tcPr>
            <w:tcW w:w="959" w:type="dxa"/>
          </w:tcPr>
          <w:p w:rsidR="0095765D" w:rsidRPr="00422410" w:rsidRDefault="0095765D" w:rsidP="000F49DA">
            <w:pPr>
              <w:spacing w:after="0"/>
              <w:rPr>
                <w:sz w:val="22"/>
                <w:szCs w:val="22"/>
                <w:lang w:val="en-GB"/>
              </w:rPr>
            </w:pPr>
            <w:r w:rsidRPr="00422410">
              <w:rPr>
                <w:sz w:val="22"/>
                <w:szCs w:val="22"/>
                <w:lang w:val="en-GB"/>
              </w:rPr>
              <w:t>3</w:t>
            </w:r>
          </w:p>
        </w:tc>
        <w:tc>
          <w:tcPr>
            <w:tcW w:w="3698" w:type="dxa"/>
          </w:tcPr>
          <w:p w:rsidR="0095765D" w:rsidRDefault="0095765D" w:rsidP="000F49DA">
            <w:pPr>
              <w:spacing w:after="0"/>
              <w:rPr>
                <w:sz w:val="22"/>
                <w:szCs w:val="22"/>
                <w:lang w:val="en-GB"/>
              </w:rPr>
            </w:pPr>
            <w:r w:rsidRPr="00422410">
              <w:rPr>
                <w:sz w:val="22"/>
                <w:szCs w:val="22"/>
                <w:lang w:val="en-GB"/>
              </w:rPr>
              <w:t>Develop training programs and material that are aligned with Observations/Recommendations from this survey</w:t>
            </w:r>
            <w:r w:rsidR="00422410">
              <w:rPr>
                <w:sz w:val="22"/>
                <w:szCs w:val="22"/>
                <w:lang w:val="en-GB"/>
              </w:rPr>
              <w:t>.</w:t>
            </w:r>
          </w:p>
          <w:p w:rsidR="00422410" w:rsidRPr="00422410" w:rsidRDefault="00422410" w:rsidP="000F49DA">
            <w:pPr>
              <w:spacing w:after="0"/>
              <w:rPr>
                <w:sz w:val="22"/>
                <w:szCs w:val="22"/>
                <w:lang w:val="en-GB"/>
              </w:rPr>
            </w:pPr>
          </w:p>
        </w:tc>
        <w:tc>
          <w:tcPr>
            <w:tcW w:w="4395" w:type="dxa"/>
          </w:tcPr>
          <w:p w:rsidR="0095765D" w:rsidRPr="00422410" w:rsidRDefault="0095765D" w:rsidP="00422410">
            <w:pPr>
              <w:spacing w:after="0"/>
              <w:rPr>
                <w:sz w:val="22"/>
                <w:szCs w:val="22"/>
                <w:lang w:val="en-GB"/>
              </w:rPr>
            </w:pPr>
            <w:r w:rsidRPr="00422410">
              <w:rPr>
                <w:sz w:val="22"/>
                <w:szCs w:val="22"/>
                <w:lang w:val="en-GB"/>
              </w:rPr>
              <w:t xml:space="preserve">High level outlines are provided in the final survey report. Also need to appoint the RERA trainer that will be responsible for each </w:t>
            </w:r>
            <w:proofErr w:type="spellStart"/>
            <w:r w:rsidR="00422410" w:rsidRPr="00422410">
              <w:rPr>
                <w:sz w:val="22"/>
                <w:szCs w:val="22"/>
                <w:lang w:val="en-GB"/>
              </w:rPr>
              <w:t>workstream</w:t>
            </w:r>
            <w:proofErr w:type="spellEnd"/>
            <w:r w:rsidR="00422410">
              <w:rPr>
                <w:sz w:val="22"/>
                <w:szCs w:val="22"/>
                <w:lang w:val="en-GB"/>
              </w:rPr>
              <w:t>.</w:t>
            </w:r>
          </w:p>
        </w:tc>
      </w:tr>
      <w:tr w:rsidR="0095765D" w:rsidRPr="00422410" w:rsidTr="00422410">
        <w:tc>
          <w:tcPr>
            <w:tcW w:w="959" w:type="dxa"/>
          </w:tcPr>
          <w:p w:rsidR="0095765D" w:rsidRPr="00422410" w:rsidRDefault="0095765D" w:rsidP="000F49DA">
            <w:pPr>
              <w:spacing w:after="0"/>
              <w:rPr>
                <w:sz w:val="22"/>
                <w:szCs w:val="22"/>
                <w:lang w:val="en-GB"/>
              </w:rPr>
            </w:pPr>
            <w:r w:rsidRPr="00422410">
              <w:rPr>
                <w:sz w:val="22"/>
                <w:szCs w:val="22"/>
                <w:lang w:val="en-GB"/>
              </w:rPr>
              <w:t>4</w:t>
            </w:r>
          </w:p>
        </w:tc>
        <w:tc>
          <w:tcPr>
            <w:tcW w:w="3698" w:type="dxa"/>
          </w:tcPr>
          <w:p w:rsidR="0095765D" w:rsidRPr="00422410" w:rsidRDefault="0095765D" w:rsidP="000F49DA">
            <w:pPr>
              <w:spacing w:after="0"/>
              <w:rPr>
                <w:sz w:val="22"/>
                <w:szCs w:val="22"/>
                <w:lang w:val="en-GB"/>
              </w:rPr>
            </w:pPr>
            <w:r w:rsidRPr="00422410">
              <w:rPr>
                <w:sz w:val="22"/>
                <w:szCs w:val="22"/>
                <w:lang w:val="en-GB"/>
              </w:rPr>
              <w:t>Schedule training programs</w:t>
            </w:r>
            <w:r w:rsidR="00422410">
              <w:rPr>
                <w:sz w:val="22"/>
                <w:szCs w:val="22"/>
                <w:lang w:val="en-GB"/>
              </w:rPr>
              <w:t>.</w:t>
            </w:r>
          </w:p>
        </w:tc>
        <w:tc>
          <w:tcPr>
            <w:tcW w:w="4395" w:type="dxa"/>
          </w:tcPr>
          <w:p w:rsidR="0095765D" w:rsidRDefault="0095765D" w:rsidP="000F49DA">
            <w:pPr>
              <w:spacing w:after="0"/>
              <w:rPr>
                <w:sz w:val="22"/>
                <w:szCs w:val="22"/>
                <w:lang w:val="en-GB"/>
              </w:rPr>
            </w:pPr>
            <w:r w:rsidRPr="00422410">
              <w:rPr>
                <w:sz w:val="22"/>
                <w:szCs w:val="22"/>
                <w:lang w:val="en-GB"/>
              </w:rPr>
              <w:t>Based on outcome of step 3</w:t>
            </w:r>
            <w:r w:rsidR="00422410">
              <w:rPr>
                <w:sz w:val="22"/>
                <w:szCs w:val="22"/>
                <w:lang w:val="en-GB"/>
              </w:rPr>
              <w:t>.</w:t>
            </w:r>
          </w:p>
          <w:p w:rsidR="00422410" w:rsidRPr="00422410" w:rsidRDefault="00422410" w:rsidP="000F49DA">
            <w:pPr>
              <w:spacing w:after="0"/>
              <w:rPr>
                <w:sz w:val="22"/>
                <w:szCs w:val="22"/>
                <w:lang w:val="en-GB"/>
              </w:rPr>
            </w:pPr>
          </w:p>
        </w:tc>
      </w:tr>
      <w:tr w:rsidR="0095765D" w:rsidRPr="00422410" w:rsidTr="00422410">
        <w:trPr>
          <w:cnfStyle w:val="000000100000" w:firstRow="0" w:lastRow="0" w:firstColumn="0" w:lastColumn="0" w:oddVBand="0" w:evenVBand="0" w:oddHBand="1" w:evenHBand="0" w:firstRowFirstColumn="0" w:firstRowLastColumn="0" w:lastRowFirstColumn="0" w:lastRowLastColumn="0"/>
        </w:trPr>
        <w:tc>
          <w:tcPr>
            <w:tcW w:w="959" w:type="dxa"/>
          </w:tcPr>
          <w:p w:rsidR="0095765D" w:rsidRPr="00422410" w:rsidRDefault="0095765D" w:rsidP="000F49DA">
            <w:pPr>
              <w:spacing w:after="0"/>
              <w:rPr>
                <w:sz w:val="22"/>
                <w:szCs w:val="22"/>
                <w:lang w:val="en-GB"/>
              </w:rPr>
            </w:pPr>
            <w:r w:rsidRPr="00422410">
              <w:rPr>
                <w:sz w:val="22"/>
                <w:szCs w:val="22"/>
                <w:lang w:val="en-GB"/>
              </w:rPr>
              <w:t>5</w:t>
            </w:r>
          </w:p>
        </w:tc>
        <w:tc>
          <w:tcPr>
            <w:tcW w:w="3698" w:type="dxa"/>
          </w:tcPr>
          <w:p w:rsidR="0095765D" w:rsidRDefault="0095765D" w:rsidP="000F49DA">
            <w:pPr>
              <w:spacing w:after="0"/>
              <w:rPr>
                <w:sz w:val="22"/>
                <w:szCs w:val="22"/>
                <w:lang w:val="en-GB"/>
              </w:rPr>
            </w:pPr>
            <w:r w:rsidRPr="00422410">
              <w:rPr>
                <w:sz w:val="22"/>
                <w:szCs w:val="22"/>
                <w:lang w:val="en-GB"/>
              </w:rPr>
              <w:t>Deliver training programs in accordance with schedule</w:t>
            </w:r>
            <w:r w:rsidR="00422410">
              <w:rPr>
                <w:sz w:val="22"/>
                <w:szCs w:val="22"/>
                <w:lang w:val="en-GB"/>
              </w:rPr>
              <w:t>.</w:t>
            </w:r>
          </w:p>
          <w:p w:rsidR="00422410" w:rsidRPr="00422410" w:rsidRDefault="00422410" w:rsidP="000F49DA">
            <w:pPr>
              <w:spacing w:after="0"/>
              <w:rPr>
                <w:sz w:val="22"/>
                <w:szCs w:val="22"/>
                <w:lang w:val="en-GB"/>
              </w:rPr>
            </w:pPr>
          </w:p>
        </w:tc>
        <w:tc>
          <w:tcPr>
            <w:tcW w:w="4395" w:type="dxa"/>
          </w:tcPr>
          <w:p w:rsidR="0095765D" w:rsidRPr="00422410" w:rsidRDefault="0095765D" w:rsidP="000F49DA">
            <w:pPr>
              <w:spacing w:after="0"/>
              <w:rPr>
                <w:sz w:val="22"/>
                <w:szCs w:val="22"/>
                <w:lang w:val="en-GB"/>
              </w:rPr>
            </w:pPr>
            <w:r w:rsidRPr="00422410">
              <w:rPr>
                <w:sz w:val="22"/>
                <w:szCs w:val="22"/>
                <w:lang w:val="en-GB"/>
              </w:rPr>
              <w:t>On-going program to be updated annually by RERA trainer</w:t>
            </w:r>
            <w:r w:rsidR="00422410">
              <w:rPr>
                <w:sz w:val="22"/>
                <w:szCs w:val="22"/>
                <w:lang w:val="en-GB"/>
              </w:rPr>
              <w:t>.</w:t>
            </w:r>
          </w:p>
        </w:tc>
      </w:tr>
      <w:tr w:rsidR="0095765D" w:rsidRPr="00422410" w:rsidTr="00422410">
        <w:tc>
          <w:tcPr>
            <w:tcW w:w="959" w:type="dxa"/>
          </w:tcPr>
          <w:p w:rsidR="0095765D" w:rsidRPr="00422410" w:rsidRDefault="0095765D" w:rsidP="000F49DA">
            <w:pPr>
              <w:spacing w:after="0"/>
              <w:rPr>
                <w:sz w:val="22"/>
                <w:szCs w:val="22"/>
                <w:lang w:val="en-GB"/>
              </w:rPr>
            </w:pPr>
            <w:r w:rsidRPr="00422410">
              <w:rPr>
                <w:sz w:val="22"/>
                <w:szCs w:val="22"/>
                <w:lang w:val="en-GB"/>
              </w:rPr>
              <w:t>6</w:t>
            </w:r>
          </w:p>
        </w:tc>
        <w:tc>
          <w:tcPr>
            <w:tcW w:w="3698" w:type="dxa"/>
          </w:tcPr>
          <w:p w:rsidR="0095765D" w:rsidRDefault="0095765D" w:rsidP="000F49DA">
            <w:pPr>
              <w:spacing w:after="0"/>
              <w:rPr>
                <w:sz w:val="22"/>
                <w:szCs w:val="22"/>
                <w:lang w:val="en-GB"/>
              </w:rPr>
            </w:pPr>
            <w:r w:rsidRPr="00422410">
              <w:rPr>
                <w:sz w:val="22"/>
                <w:szCs w:val="22"/>
                <w:lang w:val="en-GB"/>
              </w:rPr>
              <w:t>Monitor success of training programs</w:t>
            </w:r>
            <w:r w:rsidR="00422410">
              <w:rPr>
                <w:sz w:val="22"/>
                <w:szCs w:val="22"/>
                <w:lang w:val="en-GB"/>
              </w:rPr>
              <w:t>.</w:t>
            </w:r>
          </w:p>
          <w:p w:rsidR="00422410" w:rsidRPr="00422410" w:rsidRDefault="00422410" w:rsidP="000F49DA">
            <w:pPr>
              <w:spacing w:after="0"/>
              <w:rPr>
                <w:sz w:val="22"/>
                <w:szCs w:val="22"/>
                <w:lang w:val="en-GB"/>
              </w:rPr>
            </w:pPr>
          </w:p>
        </w:tc>
        <w:tc>
          <w:tcPr>
            <w:tcW w:w="4395" w:type="dxa"/>
          </w:tcPr>
          <w:p w:rsidR="0095765D" w:rsidRPr="00422410" w:rsidRDefault="0095765D" w:rsidP="000F49DA">
            <w:pPr>
              <w:spacing w:after="0"/>
              <w:rPr>
                <w:sz w:val="22"/>
                <w:szCs w:val="22"/>
                <w:lang w:val="en-GB"/>
              </w:rPr>
            </w:pPr>
            <w:r w:rsidRPr="00422410">
              <w:rPr>
                <w:sz w:val="22"/>
                <w:szCs w:val="22"/>
                <w:lang w:val="en-GB"/>
              </w:rPr>
              <w:t>Ensure collection of short-term feedback on each specific program</w:t>
            </w:r>
            <w:r w:rsidR="00422410">
              <w:rPr>
                <w:sz w:val="22"/>
                <w:szCs w:val="22"/>
                <w:lang w:val="en-GB"/>
              </w:rPr>
              <w:t>.</w:t>
            </w:r>
          </w:p>
        </w:tc>
      </w:tr>
      <w:tr w:rsidR="0095765D" w:rsidRPr="00422410" w:rsidTr="00422410">
        <w:trPr>
          <w:cnfStyle w:val="000000100000" w:firstRow="0" w:lastRow="0" w:firstColumn="0" w:lastColumn="0" w:oddVBand="0" w:evenVBand="0" w:oddHBand="1" w:evenHBand="0" w:firstRowFirstColumn="0" w:firstRowLastColumn="0" w:lastRowFirstColumn="0" w:lastRowLastColumn="0"/>
        </w:trPr>
        <w:tc>
          <w:tcPr>
            <w:tcW w:w="959" w:type="dxa"/>
          </w:tcPr>
          <w:p w:rsidR="0095765D" w:rsidRPr="00422410" w:rsidRDefault="0095765D" w:rsidP="000F49DA">
            <w:pPr>
              <w:spacing w:after="0"/>
              <w:rPr>
                <w:sz w:val="22"/>
                <w:szCs w:val="22"/>
                <w:lang w:val="en-GB"/>
              </w:rPr>
            </w:pPr>
            <w:r w:rsidRPr="00422410">
              <w:rPr>
                <w:sz w:val="22"/>
                <w:szCs w:val="22"/>
                <w:lang w:val="en-GB"/>
              </w:rPr>
              <w:t>7</w:t>
            </w:r>
          </w:p>
        </w:tc>
        <w:tc>
          <w:tcPr>
            <w:tcW w:w="3698" w:type="dxa"/>
          </w:tcPr>
          <w:p w:rsidR="0095765D" w:rsidRPr="00422410" w:rsidRDefault="0095765D" w:rsidP="000F49DA">
            <w:pPr>
              <w:spacing w:after="0"/>
              <w:rPr>
                <w:sz w:val="22"/>
                <w:szCs w:val="22"/>
                <w:lang w:val="en-GB"/>
              </w:rPr>
            </w:pPr>
            <w:r w:rsidRPr="00422410">
              <w:rPr>
                <w:sz w:val="22"/>
                <w:szCs w:val="22"/>
                <w:lang w:val="en-GB"/>
              </w:rPr>
              <w:t>Performing training assessment every 2nd year.</w:t>
            </w:r>
          </w:p>
        </w:tc>
        <w:tc>
          <w:tcPr>
            <w:tcW w:w="4395" w:type="dxa"/>
          </w:tcPr>
          <w:p w:rsidR="0095765D" w:rsidRDefault="0095765D" w:rsidP="000F49DA">
            <w:pPr>
              <w:spacing w:after="0"/>
              <w:rPr>
                <w:sz w:val="22"/>
                <w:szCs w:val="22"/>
                <w:lang w:val="en-GB"/>
              </w:rPr>
            </w:pPr>
            <w:r w:rsidRPr="00422410">
              <w:rPr>
                <w:sz w:val="22"/>
                <w:szCs w:val="22"/>
                <w:lang w:val="en-GB"/>
              </w:rPr>
              <w:t>Re-run annual survey to benchmark improvement</w:t>
            </w:r>
            <w:r w:rsidR="00422410">
              <w:rPr>
                <w:sz w:val="22"/>
                <w:szCs w:val="22"/>
                <w:lang w:val="en-GB"/>
              </w:rPr>
              <w:t>.</w:t>
            </w:r>
          </w:p>
          <w:p w:rsidR="00422410" w:rsidRPr="00422410" w:rsidRDefault="00422410" w:rsidP="000F49DA">
            <w:pPr>
              <w:spacing w:after="0"/>
              <w:rPr>
                <w:sz w:val="22"/>
                <w:szCs w:val="22"/>
                <w:lang w:val="en-GB"/>
              </w:rPr>
            </w:pPr>
          </w:p>
        </w:tc>
      </w:tr>
      <w:tr w:rsidR="0095765D" w:rsidRPr="00422410" w:rsidTr="00422410">
        <w:tc>
          <w:tcPr>
            <w:tcW w:w="959" w:type="dxa"/>
          </w:tcPr>
          <w:p w:rsidR="0095765D" w:rsidRPr="00422410" w:rsidRDefault="0095765D" w:rsidP="000F49DA">
            <w:pPr>
              <w:spacing w:after="0"/>
              <w:rPr>
                <w:sz w:val="22"/>
                <w:szCs w:val="22"/>
                <w:lang w:val="en-GB"/>
              </w:rPr>
            </w:pPr>
            <w:r w:rsidRPr="00422410">
              <w:rPr>
                <w:sz w:val="22"/>
                <w:szCs w:val="22"/>
                <w:lang w:val="en-GB"/>
              </w:rPr>
              <w:t>8</w:t>
            </w:r>
          </w:p>
        </w:tc>
        <w:tc>
          <w:tcPr>
            <w:tcW w:w="3698" w:type="dxa"/>
          </w:tcPr>
          <w:p w:rsidR="0095765D" w:rsidRPr="00422410" w:rsidRDefault="0095765D" w:rsidP="000F49DA">
            <w:pPr>
              <w:spacing w:after="0"/>
              <w:rPr>
                <w:sz w:val="22"/>
                <w:szCs w:val="22"/>
                <w:lang w:val="en-GB"/>
              </w:rPr>
            </w:pPr>
            <w:r w:rsidRPr="00422410">
              <w:rPr>
                <w:sz w:val="22"/>
                <w:szCs w:val="22"/>
                <w:lang w:val="en-GB"/>
              </w:rPr>
              <w:t>Repeat cycle</w:t>
            </w:r>
            <w:r w:rsidR="00422410">
              <w:rPr>
                <w:sz w:val="22"/>
                <w:szCs w:val="22"/>
                <w:lang w:val="en-GB"/>
              </w:rPr>
              <w:t>.</w:t>
            </w:r>
          </w:p>
        </w:tc>
        <w:tc>
          <w:tcPr>
            <w:tcW w:w="4395" w:type="dxa"/>
          </w:tcPr>
          <w:p w:rsidR="0095765D" w:rsidRPr="00422410" w:rsidRDefault="0095765D" w:rsidP="000F49DA">
            <w:pPr>
              <w:spacing w:after="0"/>
              <w:rPr>
                <w:sz w:val="22"/>
                <w:szCs w:val="22"/>
                <w:lang w:val="en-GB"/>
              </w:rPr>
            </w:pPr>
          </w:p>
        </w:tc>
      </w:tr>
    </w:tbl>
    <w:p w:rsidR="00422410" w:rsidRDefault="00422410" w:rsidP="00422410">
      <w:pPr>
        <w:pStyle w:val="Caption"/>
        <w:spacing w:before="120" w:line="240" w:lineRule="auto"/>
        <w:rPr>
          <w:rFonts w:ascii="Arial" w:hAnsi="Arial" w:cs="Arial"/>
          <w:color w:val="auto"/>
        </w:rPr>
      </w:pPr>
      <w:bookmarkStart w:id="79" w:name="_Toc404780511"/>
      <w:bookmarkStart w:id="80" w:name="_Toc404780602"/>
      <w:r w:rsidRPr="00422410">
        <w:rPr>
          <w:rFonts w:ascii="Arial" w:hAnsi="Arial" w:cs="Arial"/>
          <w:color w:val="auto"/>
        </w:rPr>
        <w:t xml:space="preserve">Table </w:t>
      </w:r>
      <w:r w:rsidRPr="00422410">
        <w:rPr>
          <w:rFonts w:ascii="Arial" w:hAnsi="Arial" w:cs="Arial"/>
          <w:color w:val="auto"/>
        </w:rPr>
        <w:fldChar w:fldCharType="begin"/>
      </w:r>
      <w:r w:rsidRPr="00422410">
        <w:rPr>
          <w:rFonts w:ascii="Arial" w:hAnsi="Arial" w:cs="Arial"/>
          <w:color w:val="auto"/>
        </w:rPr>
        <w:instrText xml:space="preserve"> SEQ Table \* ARABIC </w:instrText>
      </w:r>
      <w:r w:rsidRPr="00422410">
        <w:rPr>
          <w:rFonts w:ascii="Arial" w:hAnsi="Arial" w:cs="Arial"/>
          <w:color w:val="auto"/>
        </w:rPr>
        <w:fldChar w:fldCharType="separate"/>
      </w:r>
      <w:r w:rsidRPr="00422410">
        <w:rPr>
          <w:rFonts w:ascii="Arial" w:hAnsi="Arial" w:cs="Arial"/>
          <w:color w:val="auto"/>
        </w:rPr>
        <w:t>1</w:t>
      </w:r>
      <w:r w:rsidRPr="00422410">
        <w:rPr>
          <w:rFonts w:ascii="Arial" w:hAnsi="Arial" w:cs="Arial"/>
          <w:color w:val="auto"/>
        </w:rPr>
        <w:fldChar w:fldCharType="end"/>
      </w:r>
      <w:r w:rsidRPr="00422410">
        <w:rPr>
          <w:rFonts w:ascii="Arial" w:hAnsi="Arial" w:cs="Arial"/>
          <w:color w:val="auto"/>
        </w:rPr>
        <w:t>: Process to ensure training program sustainability</w:t>
      </w:r>
      <w:bookmarkEnd w:id="79"/>
    </w:p>
    <w:p w:rsidR="00422410" w:rsidRPr="00422410" w:rsidRDefault="00422410" w:rsidP="00422410">
      <w:pPr>
        <w:pStyle w:val="BodyText"/>
        <w:rPr>
          <w:lang w:val="en-ZA"/>
        </w:rPr>
      </w:pP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81" w:name="_Toc405470995"/>
      <w:r>
        <w:rPr>
          <w:lang w:val="en-GB"/>
        </w:rPr>
        <w:lastRenderedPageBreak/>
        <w:t>Train the Trainer</w:t>
      </w:r>
      <w:bookmarkEnd w:id="80"/>
      <w:bookmarkEnd w:id="81"/>
    </w:p>
    <w:p w:rsidR="0095765D" w:rsidRDefault="0095765D" w:rsidP="002878A5">
      <w:pPr>
        <w:keepNext/>
        <w:rPr>
          <w:sz w:val="22"/>
          <w:szCs w:val="22"/>
          <w:lang w:val="en-GB"/>
        </w:rPr>
      </w:pPr>
      <w:r w:rsidRPr="00422410">
        <w:rPr>
          <w:sz w:val="22"/>
          <w:szCs w:val="22"/>
          <w:lang w:val="en-GB"/>
        </w:rPr>
        <w:t>Successful training is the result of repetitive and consistent application by qualified, experienced and motivated individuals. Each of the focus areas tested in this survey will require on-going development of material as the sector adapts and changes. This in turn implies that there is a focus area “champion” dedicated to maintaining the material and implementing the training.</w:t>
      </w:r>
    </w:p>
    <w:p w:rsidR="00422410" w:rsidRPr="00422410" w:rsidRDefault="00422410" w:rsidP="002878A5">
      <w:pPr>
        <w:keepNext/>
        <w:rPr>
          <w:sz w:val="22"/>
          <w:szCs w:val="22"/>
          <w:lang w:val="en-GB"/>
        </w:rPr>
      </w:pPr>
    </w:p>
    <w:p w:rsidR="0095765D" w:rsidRPr="00422410" w:rsidRDefault="0095765D" w:rsidP="002878A5">
      <w:pPr>
        <w:keepNext/>
        <w:pBdr>
          <w:top w:val="single" w:sz="4" w:space="1" w:color="auto"/>
          <w:left w:val="single" w:sz="4" w:space="4" w:color="auto"/>
          <w:bottom w:val="single" w:sz="4" w:space="1" w:color="auto"/>
          <w:right w:val="single" w:sz="4" w:space="1" w:color="auto"/>
        </w:pBdr>
        <w:rPr>
          <w:color w:val="1F497D" w:themeColor="text2"/>
          <w:sz w:val="22"/>
          <w:szCs w:val="22"/>
          <w:lang w:val="en-GB"/>
        </w:rPr>
      </w:pPr>
      <w:r w:rsidRPr="00422410">
        <w:rPr>
          <w:color w:val="1F497D" w:themeColor="text2"/>
          <w:sz w:val="22"/>
          <w:szCs w:val="22"/>
          <w:lang w:val="en-GB"/>
        </w:rPr>
        <w:t>Recommendation 1:</w:t>
      </w:r>
    </w:p>
    <w:p w:rsidR="0095765D" w:rsidRPr="00422410" w:rsidRDefault="0095765D" w:rsidP="002878A5">
      <w:pPr>
        <w:keepNext/>
        <w:pBdr>
          <w:top w:val="single" w:sz="4" w:space="1" w:color="auto"/>
          <w:left w:val="single" w:sz="4" w:space="4" w:color="auto"/>
          <w:bottom w:val="single" w:sz="4" w:space="1" w:color="auto"/>
          <w:right w:val="single" w:sz="4" w:space="1" w:color="auto"/>
        </w:pBdr>
        <w:rPr>
          <w:color w:val="1F497D" w:themeColor="text2"/>
          <w:sz w:val="22"/>
          <w:szCs w:val="22"/>
          <w:lang w:val="en-GB"/>
        </w:rPr>
      </w:pPr>
      <w:r w:rsidRPr="00422410">
        <w:rPr>
          <w:color w:val="1F497D" w:themeColor="text2"/>
          <w:sz w:val="22"/>
          <w:szCs w:val="22"/>
          <w:lang w:val="en-GB"/>
        </w:rPr>
        <w:t>The most effective means for this training to be maintained and developed over the period required to ensure that it is managed by RERA members themselves. It is therefore recommended that a “train-the-trainer” approach is adopted: specific individuals that display interest or expertise in particular fields will be trained and will then in turn train other staff members from RERA’s members. In this way the training is absorbed and becomes part of RERA itself and not something that needs to be continually managed and updated by 3</w:t>
      </w:r>
      <w:r w:rsidRPr="00422410">
        <w:rPr>
          <w:color w:val="1F497D" w:themeColor="text2"/>
          <w:sz w:val="22"/>
          <w:szCs w:val="22"/>
          <w:vertAlign w:val="superscript"/>
          <w:lang w:val="en-GB"/>
        </w:rPr>
        <w:t>rd</w:t>
      </w:r>
      <w:r w:rsidRPr="00422410">
        <w:rPr>
          <w:color w:val="1F497D" w:themeColor="text2"/>
          <w:sz w:val="22"/>
          <w:szCs w:val="22"/>
          <w:lang w:val="en-GB"/>
        </w:rPr>
        <w:t xml:space="preserve"> parties. </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82" w:name="_Toc404780603"/>
      <w:bookmarkStart w:id="83" w:name="_Toc405470996"/>
      <w:r>
        <w:rPr>
          <w:lang w:val="en-GB"/>
        </w:rPr>
        <w:t>Staffing &amp; Vacancies</w:t>
      </w:r>
      <w:bookmarkEnd w:id="82"/>
      <w:bookmarkEnd w:id="83"/>
    </w:p>
    <w:p w:rsidR="0095765D" w:rsidRPr="00422410" w:rsidRDefault="00422410" w:rsidP="0095765D">
      <w:pPr>
        <w:rPr>
          <w:sz w:val="22"/>
          <w:szCs w:val="22"/>
          <w:lang w:val="en-GB"/>
        </w:rPr>
      </w:pPr>
      <w:r>
        <w:rPr>
          <w:sz w:val="22"/>
          <w:szCs w:val="22"/>
          <w:lang w:val="en-GB"/>
        </w:rPr>
        <w:t>Approximately</w:t>
      </w:r>
      <w:r w:rsidR="0095765D" w:rsidRPr="00422410">
        <w:rPr>
          <w:sz w:val="22"/>
          <w:szCs w:val="22"/>
          <w:lang w:val="en-GB"/>
        </w:rPr>
        <w:t xml:space="preserve"> 16% (109) of total staff requirements are currently vacant. The vacant positions are also spread over several focus areas and cannot therefore be dismissed as </w:t>
      </w:r>
      <w:r>
        <w:rPr>
          <w:sz w:val="22"/>
          <w:szCs w:val="22"/>
          <w:lang w:val="en-GB"/>
        </w:rPr>
        <w:t>merely relating to, for example,</w:t>
      </w:r>
      <w:r w:rsidR="0095765D" w:rsidRPr="00422410">
        <w:rPr>
          <w:sz w:val="22"/>
          <w:szCs w:val="22"/>
          <w:lang w:val="en-GB"/>
        </w:rPr>
        <w:t xml:space="preserve"> support staff. </w:t>
      </w:r>
      <w:r>
        <w:rPr>
          <w:sz w:val="22"/>
          <w:szCs w:val="22"/>
          <w:lang w:val="en-GB"/>
        </w:rPr>
        <w:t>If t</w:t>
      </w:r>
      <w:r w:rsidR="0095765D" w:rsidRPr="00422410">
        <w:rPr>
          <w:sz w:val="22"/>
          <w:szCs w:val="22"/>
          <w:lang w:val="en-GB"/>
        </w:rPr>
        <w:t xml:space="preserve">hese vacancies </w:t>
      </w:r>
      <w:r>
        <w:rPr>
          <w:sz w:val="22"/>
          <w:szCs w:val="22"/>
          <w:lang w:val="en-GB"/>
        </w:rPr>
        <w:t>are</w:t>
      </w:r>
      <w:r w:rsidR="0095765D" w:rsidRPr="00422410">
        <w:rPr>
          <w:sz w:val="22"/>
          <w:szCs w:val="22"/>
          <w:lang w:val="en-GB"/>
        </w:rPr>
        <w:t xml:space="preserve"> not </w:t>
      </w:r>
      <w:r>
        <w:rPr>
          <w:sz w:val="22"/>
          <w:szCs w:val="22"/>
          <w:lang w:val="en-GB"/>
        </w:rPr>
        <w:t>filled, this</w:t>
      </w:r>
      <w:r w:rsidR="0095765D" w:rsidRPr="00422410">
        <w:rPr>
          <w:sz w:val="22"/>
          <w:szCs w:val="22"/>
          <w:lang w:val="en-GB"/>
        </w:rPr>
        <w:t xml:space="preserve"> will lead to longer term underperformance.</w:t>
      </w:r>
    </w:p>
    <w:p w:rsidR="0095765D" w:rsidRPr="00422410"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422410">
        <w:rPr>
          <w:color w:val="1F497D" w:themeColor="text2"/>
          <w:sz w:val="22"/>
          <w:szCs w:val="22"/>
          <w:lang w:val="en-GB"/>
        </w:rPr>
        <w:t>Recommendation 2:</w:t>
      </w:r>
    </w:p>
    <w:p w:rsidR="0095765D" w:rsidRPr="00422410"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422410">
        <w:rPr>
          <w:color w:val="1F497D" w:themeColor="text2"/>
          <w:sz w:val="22"/>
          <w:szCs w:val="22"/>
          <w:lang w:val="en-GB"/>
        </w:rPr>
        <w:t>Investigate training requirements to improve on Human Resources functions within regulators. Identify potential individuals that can be upskilled or that require further training in order to fill vacancies. RERA members to compile a list of staff members that can be sent on HR training and identify any staff that could fill vacant positions through further training and support. Special attention to be paid to Technical and Legal training requirements as these comprises the majority of current vacant positions.</w:t>
      </w:r>
    </w:p>
    <w:p w:rsidR="0095765D" w:rsidRDefault="0095765D" w:rsidP="00B86181">
      <w:pPr>
        <w:pStyle w:val="Heading2"/>
        <w:numPr>
          <w:ilvl w:val="1"/>
          <w:numId w:val="2"/>
        </w:numPr>
        <w:tabs>
          <w:tab w:val="left" w:pos="0"/>
          <w:tab w:val="left" w:pos="709"/>
        </w:tabs>
        <w:autoSpaceDE/>
        <w:autoSpaceDN/>
        <w:adjustRightInd/>
        <w:spacing w:before="360" w:line="360" w:lineRule="auto"/>
        <w:ind w:left="709" w:hanging="720"/>
        <w:jc w:val="both"/>
        <w:rPr>
          <w:lang w:val="en-GB"/>
        </w:rPr>
      </w:pPr>
      <w:bookmarkStart w:id="84" w:name="_Toc404780604"/>
      <w:bookmarkStart w:id="85" w:name="_Toc405470997"/>
      <w:r>
        <w:rPr>
          <w:lang w:val="en-GB"/>
        </w:rPr>
        <w:t>Training Methods &amp; Curriculum</w:t>
      </w:r>
      <w:bookmarkEnd w:id="84"/>
      <w:bookmarkEnd w:id="85"/>
    </w:p>
    <w:p w:rsidR="0095765D" w:rsidRPr="002878A5" w:rsidRDefault="0095765D" w:rsidP="002878A5">
      <w:pPr>
        <w:rPr>
          <w:sz w:val="22"/>
          <w:szCs w:val="22"/>
          <w:lang w:val="en-GB"/>
        </w:rPr>
      </w:pPr>
      <w:r w:rsidRPr="002878A5">
        <w:rPr>
          <w:sz w:val="22"/>
          <w:szCs w:val="22"/>
          <w:lang w:val="en-GB"/>
        </w:rPr>
        <w:t>Respondents indicated that training was most critical in the following areas:</w:t>
      </w:r>
    </w:p>
    <w:p w:rsidR="0095765D" w:rsidRPr="002878A5" w:rsidRDefault="0095765D" w:rsidP="00B86181">
      <w:pPr>
        <w:pStyle w:val="ListParagraph"/>
        <w:numPr>
          <w:ilvl w:val="0"/>
          <w:numId w:val="4"/>
        </w:numPr>
        <w:spacing w:before="0" w:line="240" w:lineRule="auto"/>
        <w:ind w:firstLine="0"/>
        <w:rPr>
          <w:sz w:val="22"/>
          <w:szCs w:val="22"/>
          <w:lang w:val="en-GB"/>
        </w:rPr>
      </w:pPr>
      <w:r w:rsidRPr="002878A5">
        <w:rPr>
          <w:sz w:val="22"/>
          <w:szCs w:val="22"/>
          <w:lang w:val="en-GB"/>
        </w:rPr>
        <w:t>Oversight/Compliance</w:t>
      </w:r>
    </w:p>
    <w:p w:rsidR="0095765D" w:rsidRPr="002878A5" w:rsidRDefault="0095765D" w:rsidP="00B86181">
      <w:pPr>
        <w:pStyle w:val="ListParagraph"/>
        <w:numPr>
          <w:ilvl w:val="0"/>
          <w:numId w:val="4"/>
        </w:numPr>
        <w:spacing w:before="0" w:line="240" w:lineRule="auto"/>
        <w:ind w:firstLine="0"/>
        <w:rPr>
          <w:sz w:val="22"/>
          <w:szCs w:val="22"/>
          <w:lang w:val="en-GB"/>
        </w:rPr>
      </w:pPr>
      <w:r w:rsidRPr="002878A5">
        <w:rPr>
          <w:sz w:val="22"/>
          <w:szCs w:val="22"/>
          <w:lang w:val="en-GB"/>
        </w:rPr>
        <w:t>Consumer</w:t>
      </w:r>
    </w:p>
    <w:p w:rsidR="0095765D" w:rsidRPr="002878A5" w:rsidRDefault="0095765D" w:rsidP="00B86181">
      <w:pPr>
        <w:pStyle w:val="ListParagraph"/>
        <w:numPr>
          <w:ilvl w:val="0"/>
          <w:numId w:val="4"/>
        </w:numPr>
        <w:spacing w:before="0" w:line="240" w:lineRule="auto"/>
        <w:ind w:firstLine="0"/>
        <w:rPr>
          <w:sz w:val="22"/>
          <w:szCs w:val="22"/>
          <w:lang w:val="en-GB"/>
        </w:rPr>
      </w:pPr>
      <w:r w:rsidRPr="002878A5">
        <w:rPr>
          <w:sz w:val="22"/>
          <w:szCs w:val="22"/>
          <w:lang w:val="en-GB"/>
        </w:rPr>
        <w:t>Technical</w:t>
      </w:r>
    </w:p>
    <w:p w:rsidR="0095765D" w:rsidRPr="002878A5" w:rsidRDefault="0095765D" w:rsidP="002878A5">
      <w:pPr>
        <w:rPr>
          <w:sz w:val="22"/>
          <w:szCs w:val="22"/>
          <w:lang w:val="en-GB"/>
        </w:rPr>
      </w:pPr>
      <w:r w:rsidRPr="002878A5">
        <w:rPr>
          <w:sz w:val="22"/>
          <w:szCs w:val="22"/>
          <w:lang w:val="en-GB"/>
        </w:rPr>
        <w:t>Thereafter:</w:t>
      </w:r>
    </w:p>
    <w:p w:rsidR="0095765D" w:rsidRPr="002878A5" w:rsidRDefault="0095765D" w:rsidP="00B86181">
      <w:pPr>
        <w:pStyle w:val="ListParagraph"/>
        <w:numPr>
          <w:ilvl w:val="0"/>
          <w:numId w:val="4"/>
        </w:numPr>
        <w:spacing w:before="0" w:line="240" w:lineRule="auto"/>
        <w:ind w:firstLine="0"/>
        <w:rPr>
          <w:sz w:val="22"/>
          <w:szCs w:val="22"/>
          <w:lang w:val="en-GB"/>
        </w:rPr>
      </w:pPr>
      <w:r w:rsidRPr="002878A5">
        <w:rPr>
          <w:sz w:val="22"/>
          <w:szCs w:val="22"/>
          <w:lang w:val="en-GB"/>
        </w:rPr>
        <w:t>General Managerial</w:t>
      </w:r>
    </w:p>
    <w:p w:rsidR="0095765D" w:rsidRPr="002878A5" w:rsidRDefault="0095765D" w:rsidP="00B86181">
      <w:pPr>
        <w:pStyle w:val="ListParagraph"/>
        <w:numPr>
          <w:ilvl w:val="0"/>
          <w:numId w:val="4"/>
        </w:numPr>
        <w:spacing w:before="0" w:line="240" w:lineRule="auto"/>
        <w:ind w:firstLine="0"/>
        <w:rPr>
          <w:sz w:val="22"/>
          <w:szCs w:val="22"/>
          <w:lang w:val="en-GB"/>
        </w:rPr>
      </w:pPr>
      <w:r w:rsidRPr="002878A5">
        <w:rPr>
          <w:sz w:val="22"/>
          <w:szCs w:val="22"/>
          <w:lang w:val="en-GB"/>
        </w:rPr>
        <w:t>Economic</w:t>
      </w:r>
    </w:p>
    <w:p w:rsidR="0095765D" w:rsidRPr="002878A5" w:rsidRDefault="0095765D" w:rsidP="002878A5">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Recommendation 3:</w:t>
      </w:r>
    </w:p>
    <w:p w:rsidR="0095765D" w:rsidRPr="002878A5" w:rsidRDefault="0095765D" w:rsidP="002878A5">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Oversight/Compliance and Consumer related issues were highlighted throughout the survey and can be addressed through immediate training. However; as with Technical, these are wide areas and it is clear that respondents have a fair high-level understanding. Training therefore needs to be targeted to specific issues in order to have the most impact.</w:t>
      </w:r>
    </w:p>
    <w:p w:rsidR="0095765D" w:rsidRPr="002878A5" w:rsidRDefault="0095765D" w:rsidP="002878A5">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In-house workshops, case studies, exchange programs and a practical approach were most preferred by RERA members and any training programs should be structured accordingly.</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86" w:name="_Toc404780605"/>
      <w:bookmarkStart w:id="87" w:name="_Toc405470998"/>
      <w:r>
        <w:rPr>
          <w:lang w:val="en-GB"/>
        </w:rPr>
        <w:lastRenderedPageBreak/>
        <w:t>Traditional Regulation</w:t>
      </w:r>
      <w:bookmarkEnd w:id="86"/>
      <w:bookmarkEnd w:id="87"/>
    </w:p>
    <w:p w:rsidR="0095765D" w:rsidRPr="002878A5" w:rsidRDefault="0095765D" w:rsidP="0095765D">
      <w:pPr>
        <w:rPr>
          <w:sz w:val="22"/>
          <w:szCs w:val="22"/>
          <w:lang w:val="en-GB"/>
        </w:rPr>
      </w:pPr>
      <w:r w:rsidRPr="002878A5">
        <w:rPr>
          <w:sz w:val="22"/>
          <w:szCs w:val="22"/>
          <w:lang w:val="en-GB"/>
        </w:rPr>
        <w:t>Three key themes emerged from this area:</w:t>
      </w:r>
    </w:p>
    <w:p w:rsidR="0095765D" w:rsidRPr="002878A5" w:rsidRDefault="0095765D" w:rsidP="00B86181">
      <w:pPr>
        <w:pStyle w:val="ListParagraph"/>
        <w:numPr>
          <w:ilvl w:val="0"/>
          <w:numId w:val="5"/>
        </w:numPr>
        <w:ind w:firstLine="0"/>
        <w:rPr>
          <w:sz w:val="22"/>
          <w:szCs w:val="22"/>
          <w:lang w:val="en-GB"/>
        </w:rPr>
      </w:pPr>
      <w:r w:rsidRPr="002878A5">
        <w:rPr>
          <w:sz w:val="22"/>
          <w:szCs w:val="22"/>
          <w:lang w:val="en-GB"/>
        </w:rPr>
        <w:t>Managing trade-offs between competing policies</w:t>
      </w:r>
    </w:p>
    <w:p w:rsidR="0095765D" w:rsidRPr="002878A5" w:rsidRDefault="0095765D" w:rsidP="00B86181">
      <w:pPr>
        <w:pStyle w:val="ListParagraph"/>
        <w:numPr>
          <w:ilvl w:val="0"/>
          <w:numId w:val="5"/>
        </w:numPr>
        <w:ind w:firstLine="0"/>
        <w:rPr>
          <w:sz w:val="22"/>
          <w:szCs w:val="22"/>
          <w:lang w:val="en-GB"/>
        </w:rPr>
      </w:pPr>
      <w:r w:rsidRPr="002878A5">
        <w:rPr>
          <w:sz w:val="22"/>
          <w:szCs w:val="22"/>
          <w:lang w:val="en-GB"/>
        </w:rPr>
        <w:t>Creating, managing and monitoring of subsidy instruments</w:t>
      </w:r>
    </w:p>
    <w:p w:rsidR="0095765D" w:rsidRPr="002878A5" w:rsidRDefault="0095765D" w:rsidP="00B86181">
      <w:pPr>
        <w:pStyle w:val="ListParagraph"/>
        <w:numPr>
          <w:ilvl w:val="0"/>
          <w:numId w:val="5"/>
        </w:numPr>
        <w:ind w:firstLine="0"/>
        <w:rPr>
          <w:sz w:val="22"/>
          <w:szCs w:val="22"/>
          <w:lang w:val="en-GB"/>
        </w:rPr>
      </w:pPr>
      <w:r w:rsidRPr="002878A5">
        <w:rPr>
          <w:sz w:val="22"/>
          <w:szCs w:val="22"/>
          <w:lang w:val="en-GB"/>
        </w:rPr>
        <w:t>Managing governance and consumer related issues such as complaints</w:t>
      </w:r>
    </w:p>
    <w:p w:rsidR="0095765D" w:rsidRPr="002878A5"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Recommendation 4:</w:t>
      </w:r>
    </w:p>
    <w:p w:rsidR="0095765D" w:rsidRPr="002878A5"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 xml:space="preserve">There are various case studies and examples of best practice that can be identified and adapted for RERA </w:t>
      </w:r>
      <w:proofErr w:type="gramStart"/>
      <w:r w:rsidRPr="002878A5">
        <w:rPr>
          <w:color w:val="1F497D" w:themeColor="text2"/>
          <w:sz w:val="22"/>
          <w:szCs w:val="22"/>
          <w:lang w:val="en-GB"/>
        </w:rPr>
        <w:t>members</w:t>
      </w:r>
      <w:proofErr w:type="gramEnd"/>
      <w:r w:rsidRPr="002878A5">
        <w:rPr>
          <w:color w:val="1F497D" w:themeColor="text2"/>
          <w:sz w:val="22"/>
          <w:szCs w:val="22"/>
          <w:lang w:val="en-GB"/>
        </w:rPr>
        <w:t xml:space="preserve"> use. Training should focus on providing the regulator with the tools required in order to allow them to provide input to their constituents on the </w:t>
      </w:r>
      <w:r w:rsidRPr="002878A5">
        <w:rPr>
          <w:color w:val="1F497D" w:themeColor="text2"/>
          <w:sz w:val="22"/>
          <w:szCs w:val="22"/>
          <w:u w:val="single"/>
          <w:lang w:val="en-GB"/>
        </w:rPr>
        <w:t>impact</w:t>
      </w:r>
      <w:r w:rsidRPr="002878A5">
        <w:rPr>
          <w:color w:val="1F497D" w:themeColor="text2"/>
          <w:sz w:val="22"/>
          <w:szCs w:val="22"/>
          <w:lang w:val="en-GB"/>
        </w:rPr>
        <w:t xml:space="preserve"> of decisions resulting from policy trade-offs and subsidy instruments. Regulators must therefore be empowered to understand, analyse and explain the outcome of the various decisions taken by policy makers.</w:t>
      </w:r>
    </w:p>
    <w:p w:rsidR="0095765D" w:rsidRPr="002878A5"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A separate training stream can be developed to address governance and consumer related issues which is a general weakness in the sector.</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88" w:name="_Toc404780606"/>
      <w:bookmarkStart w:id="89" w:name="_Toc405470999"/>
      <w:r>
        <w:rPr>
          <w:lang w:val="en-GB"/>
        </w:rPr>
        <w:t>Evolving Regulation</w:t>
      </w:r>
      <w:bookmarkEnd w:id="88"/>
      <w:bookmarkEnd w:id="89"/>
    </w:p>
    <w:p w:rsidR="0095765D" w:rsidRPr="002878A5" w:rsidRDefault="0095765D" w:rsidP="0095765D">
      <w:pPr>
        <w:rPr>
          <w:sz w:val="22"/>
          <w:szCs w:val="22"/>
          <w:lang w:val="en-GB"/>
        </w:rPr>
      </w:pPr>
      <w:r w:rsidRPr="002878A5">
        <w:rPr>
          <w:sz w:val="22"/>
          <w:szCs w:val="22"/>
          <w:lang w:val="en-GB"/>
        </w:rPr>
        <w:t>As is expected, the level of ability within this area was considerably weaker relative to traditional regulation. Training and support programs can be developed across all the areas surveyed.</w:t>
      </w:r>
    </w:p>
    <w:p w:rsidR="0095765D" w:rsidRDefault="0095765D" w:rsidP="002878A5">
      <w:pPr>
        <w:pBdr>
          <w:top w:val="single" w:sz="4" w:space="1" w:color="auto"/>
          <w:left w:val="single" w:sz="4" w:space="4" w:color="auto"/>
          <w:bottom w:val="single" w:sz="4" w:space="1" w:color="auto"/>
          <w:right w:val="single" w:sz="4" w:space="4" w:color="auto"/>
        </w:pBdr>
        <w:spacing w:after="0"/>
        <w:rPr>
          <w:color w:val="1F497D" w:themeColor="text2"/>
          <w:sz w:val="22"/>
          <w:szCs w:val="22"/>
          <w:lang w:val="en-GB"/>
        </w:rPr>
      </w:pPr>
      <w:r w:rsidRPr="002878A5">
        <w:rPr>
          <w:color w:val="1F497D" w:themeColor="text2"/>
          <w:sz w:val="22"/>
          <w:szCs w:val="22"/>
          <w:lang w:val="en-GB"/>
        </w:rPr>
        <w:t>Recommendation 5:</w:t>
      </w:r>
    </w:p>
    <w:p w:rsidR="002878A5" w:rsidRPr="002878A5" w:rsidRDefault="002878A5" w:rsidP="002878A5">
      <w:pPr>
        <w:pBdr>
          <w:top w:val="single" w:sz="4" w:space="1" w:color="auto"/>
          <w:left w:val="single" w:sz="4" w:space="4" w:color="auto"/>
          <w:bottom w:val="single" w:sz="4" w:space="1" w:color="auto"/>
          <w:right w:val="single" w:sz="4" w:space="4" w:color="auto"/>
        </w:pBdr>
        <w:spacing w:after="0"/>
        <w:rPr>
          <w:color w:val="1F497D" w:themeColor="text2"/>
          <w:sz w:val="22"/>
          <w:szCs w:val="22"/>
          <w:lang w:val="en-GB"/>
        </w:rPr>
      </w:pPr>
    </w:p>
    <w:p w:rsidR="0095765D" w:rsidRPr="002878A5" w:rsidRDefault="0095765D" w:rsidP="002878A5">
      <w:pPr>
        <w:pBdr>
          <w:top w:val="single" w:sz="4" w:space="1" w:color="auto"/>
          <w:left w:val="single" w:sz="4" w:space="4" w:color="auto"/>
          <w:bottom w:val="single" w:sz="4" w:space="1" w:color="auto"/>
          <w:right w:val="single" w:sz="4" w:space="4" w:color="auto"/>
        </w:pBdr>
        <w:spacing w:after="0"/>
        <w:rPr>
          <w:color w:val="1F497D" w:themeColor="text2"/>
          <w:sz w:val="22"/>
          <w:szCs w:val="22"/>
          <w:lang w:val="en-GB"/>
        </w:rPr>
      </w:pPr>
      <w:r w:rsidRPr="002878A5">
        <w:rPr>
          <w:color w:val="1F497D" w:themeColor="text2"/>
          <w:sz w:val="22"/>
          <w:szCs w:val="22"/>
          <w:lang w:val="en-GB"/>
        </w:rPr>
        <w:t>Develop the following training programs for dissemination:</w:t>
      </w:r>
    </w:p>
    <w:p w:rsidR="0095765D" w:rsidRPr="002878A5" w:rsidRDefault="0095765D" w:rsidP="00B86181">
      <w:pPr>
        <w:pStyle w:val="ListParagraph"/>
        <w:numPr>
          <w:ilvl w:val="0"/>
          <w:numId w:val="3"/>
        </w:numPr>
        <w:pBdr>
          <w:top w:val="single" w:sz="4" w:space="1" w:color="auto"/>
          <w:left w:val="single" w:sz="4" w:space="4" w:color="auto"/>
          <w:bottom w:val="single" w:sz="4" w:space="1" w:color="auto"/>
          <w:right w:val="single" w:sz="4" w:space="4" w:color="auto"/>
        </w:pBdr>
        <w:spacing w:before="0" w:line="240" w:lineRule="auto"/>
        <w:rPr>
          <w:color w:val="1F497D" w:themeColor="text2"/>
          <w:sz w:val="22"/>
          <w:szCs w:val="22"/>
          <w:lang w:val="en-GB"/>
        </w:rPr>
      </w:pPr>
      <w:r w:rsidRPr="002878A5">
        <w:rPr>
          <w:color w:val="1F497D" w:themeColor="text2"/>
          <w:sz w:val="22"/>
          <w:szCs w:val="22"/>
          <w:lang w:val="en-GB"/>
        </w:rPr>
        <w:t>Evolving Policy: Private vs. Public Sector, Energy Efficiency, Carbon</w:t>
      </w:r>
    </w:p>
    <w:p w:rsidR="0095765D" w:rsidRPr="002878A5" w:rsidRDefault="0095765D" w:rsidP="00B86181">
      <w:pPr>
        <w:pStyle w:val="ListParagraph"/>
        <w:numPr>
          <w:ilvl w:val="0"/>
          <w:numId w:val="3"/>
        </w:numPr>
        <w:pBdr>
          <w:top w:val="single" w:sz="4" w:space="1" w:color="auto"/>
          <w:left w:val="single" w:sz="4" w:space="4" w:color="auto"/>
          <w:bottom w:val="single" w:sz="4" w:space="1" w:color="auto"/>
          <w:right w:val="single" w:sz="4" w:space="4" w:color="auto"/>
        </w:pBdr>
        <w:spacing w:before="0" w:line="240" w:lineRule="auto"/>
        <w:rPr>
          <w:color w:val="1F497D" w:themeColor="text2"/>
          <w:sz w:val="22"/>
          <w:szCs w:val="22"/>
          <w:lang w:val="en-GB"/>
        </w:rPr>
      </w:pPr>
      <w:r w:rsidRPr="002878A5">
        <w:rPr>
          <w:color w:val="1F497D" w:themeColor="text2"/>
          <w:sz w:val="22"/>
          <w:szCs w:val="22"/>
          <w:lang w:val="en-GB"/>
        </w:rPr>
        <w:t>Renewable Energy: Technologies, Pricing/ Costs, Market Implications, Intermittency</w:t>
      </w:r>
    </w:p>
    <w:p w:rsidR="0095765D" w:rsidRPr="002878A5" w:rsidRDefault="0095765D" w:rsidP="00B86181">
      <w:pPr>
        <w:pStyle w:val="ListParagraph"/>
        <w:numPr>
          <w:ilvl w:val="0"/>
          <w:numId w:val="3"/>
        </w:numPr>
        <w:pBdr>
          <w:top w:val="single" w:sz="4" w:space="1" w:color="auto"/>
          <w:left w:val="single" w:sz="4" w:space="4" w:color="auto"/>
          <w:bottom w:val="single" w:sz="4" w:space="1" w:color="auto"/>
          <w:right w:val="single" w:sz="4" w:space="4" w:color="auto"/>
        </w:pBdr>
        <w:spacing w:before="0" w:line="240" w:lineRule="auto"/>
        <w:rPr>
          <w:color w:val="1F497D" w:themeColor="text2"/>
          <w:sz w:val="22"/>
          <w:szCs w:val="22"/>
          <w:lang w:val="en-GB"/>
        </w:rPr>
      </w:pPr>
      <w:r w:rsidRPr="002878A5">
        <w:rPr>
          <w:color w:val="1F497D" w:themeColor="text2"/>
          <w:sz w:val="22"/>
          <w:szCs w:val="22"/>
          <w:lang w:val="en-GB"/>
        </w:rPr>
        <w:t>Embedded Generation: Pricing, Safety, Wheeling, Revenue Impact, Quality and Security of Supply</w:t>
      </w:r>
    </w:p>
    <w:p w:rsidR="0095765D" w:rsidRPr="002878A5" w:rsidRDefault="0095765D" w:rsidP="00B86181">
      <w:pPr>
        <w:pStyle w:val="ListParagraph"/>
        <w:numPr>
          <w:ilvl w:val="0"/>
          <w:numId w:val="3"/>
        </w:numPr>
        <w:pBdr>
          <w:top w:val="single" w:sz="4" w:space="1" w:color="auto"/>
          <w:left w:val="single" w:sz="4" w:space="4" w:color="auto"/>
          <w:bottom w:val="single" w:sz="4" w:space="1" w:color="auto"/>
          <w:right w:val="single" w:sz="4" w:space="4" w:color="auto"/>
        </w:pBdr>
        <w:spacing w:before="0" w:line="240" w:lineRule="auto"/>
        <w:rPr>
          <w:color w:val="1F497D" w:themeColor="text2"/>
          <w:sz w:val="22"/>
          <w:szCs w:val="22"/>
          <w:lang w:val="en-GB"/>
        </w:rPr>
      </w:pPr>
      <w:r w:rsidRPr="002878A5">
        <w:rPr>
          <w:color w:val="1F497D" w:themeColor="text2"/>
          <w:sz w:val="22"/>
          <w:szCs w:val="22"/>
          <w:lang w:val="en-GB"/>
        </w:rPr>
        <w:t>Innovation: Smart Grids &amp; Meters, Storage, New Technologies</w:t>
      </w:r>
    </w:p>
    <w:p w:rsidR="0095765D" w:rsidRPr="002878A5" w:rsidRDefault="0095765D" w:rsidP="00B86181">
      <w:pPr>
        <w:pStyle w:val="ListParagraph"/>
        <w:numPr>
          <w:ilvl w:val="0"/>
          <w:numId w:val="3"/>
        </w:numPr>
        <w:pBdr>
          <w:top w:val="single" w:sz="4" w:space="1" w:color="auto"/>
          <w:left w:val="single" w:sz="4" w:space="4" w:color="auto"/>
          <w:bottom w:val="single" w:sz="4" w:space="1" w:color="auto"/>
          <w:right w:val="single" w:sz="4" w:space="4" w:color="auto"/>
        </w:pBdr>
        <w:spacing w:before="0" w:line="240" w:lineRule="auto"/>
        <w:rPr>
          <w:color w:val="1F497D" w:themeColor="text2"/>
          <w:sz w:val="22"/>
          <w:szCs w:val="22"/>
          <w:lang w:val="en-GB"/>
        </w:rPr>
      </w:pPr>
      <w:r w:rsidRPr="002878A5">
        <w:rPr>
          <w:color w:val="1F497D" w:themeColor="text2"/>
          <w:sz w:val="22"/>
          <w:szCs w:val="22"/>
          <w:lang w:val="en-GB"/>
        </w:rPr>
        <w:t>Evolving Market Structures: Trading &amp; Procurement, Network Pricing, PPAs, 3</w:t>
      </w:r>
      <w:r w:rsidRPr="002878A5">
        <w:rPr>
          <w:color w:val="1F497D" w:themeColor="text2"/>
          <w:sz w:val="22"/>
          <w:szCs w:val="22"/>
          <w:vertAlign w:val="superscript"/>
          <w:lang w:val="en-GB"/>
        </w:rPr>
        <w:t>rd</w:t>
      </w:r>
      <w:r w:rsidRPr="002878A5">
        <w:rPr>
          <w:color w:val="1F497D" w:themeColor="text2"/>
          <w:sz w:val="22"/>
          <w:szCs w:val="22"/>
          <w:lang w:val="en-GB"/>
        </w:rPr>
        <w:t xml:space="preserve"> Party access, Losses, Long Term Pricing, Ring Fencing, Regional Harmonisation</w:t>
      </w:r>
    </w:p>
    <w:p w:rsidR="0095765D"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90" w:name="_Toc404780607"/>
      <w:bookmarkStart w:id="91" w:name="_Toc405471000"/>
      <w:r>
        <w:rPr>
          <w:lang w:val="en-GB"/>
        </w:rPr>
        <w:t>Core Competencies:</w:t>
      </w:r>
      <w:bookmarkEnd w:id="90"/>
      <w:bookmarkEnd w:id="91"/>
    </w:p>
    <w:p w:rsidR="0095765D" w:rsidRPr="002878A5" w:rsidRDefault="0095765D" w:rsidP="0095765D">
      <w:pPr>
        <w:rPr>
          <w:sz w:val="22"/>
          <w:szCs w:val="22"/>
          <w:lang w:val="en-GB"/>
        </w:rPr>
      </w:pPr>
      <w:r w:rsidRPr="002878A5">
        <w:rPr>
          <w:sz w:val="22"/>
          <w:szCs w:val="22"/>
          <w:lang w:val="en-GB"/>
        </w:rPr>
        <w:t>Respondents were measured against Technical, Economic &amp; Financial and General Business. There was a wide spread of abilities against all areas examined with very few competencies where all responses were either “adequate” or “expert”. This training program cannot be expected to address all the underlying technical, economic, financial or business competencies required, but it can address some specific issues within those areas.</w:t>
      </w:r>
    </w:p>
    <w:p w:rsidR="0095765D" w:rsidRPr="002878A5"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Recommendation 6:</w:t>
      </w:r>
    </w:p>
    <w:p w:rsidR="0095765D" w:rsidRPr="002878A5" w:rsidRDefault="0095765D" w:rsidP="002878A5">
      <w:pPr>
        <w:pBdr>
          <w:top w:val="single" w:sz="4" w:space="1" w:color="auto"/>
          <w:left w:val="single" w:sz="4" w:space="4" w:color="auto"/>
          <w:bottom w:val="single" w:sz="4" w:space="1" w:color="auto"/>
          <w:right w:val="single" w:sz="4" w:space="4" w:color="auto"/>
        </w:pBdr>
        <w:spacing w:after="0"/>
        <w:rPr>
          <w:color w:val="1F497D" w:themeColor="text2"/>
          <w:sz w:val="22"/>
          <w:szCs w:val="22"/>
          <w:lang w:val="en-GB"/>
        </w:rPr>
      </w:pPr>
      <w:r w:rsidRPr="002878A5">
        <w:rPr>
          <w:color w:val="1F497D" w:themeColor="text2"/>
          <w:sz w:val="22"/>
          <w:szCs w:val="22"/>
          <w:lang w:val="en-GB"/>
        </w:rPr>
        <w:t>Create training programs for the top 3 areas requiring support in each competence area:</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Interconnected Operations (Technical)</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Scheduling &amp; Dispatch (Technical)</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Long Term Price Modelling (Technical)</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Rating Agencies Metrics &amp; Rations (Economic &amp; Financial)</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Subsidy Instruments (Economic &amp; Financial)</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Impact of Regulatory Decisions (Economic &amp; Financial)</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Procurement (General Business)</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Stakeholder Management (General Business)</w:t>
      </w:r>
    </w:p>
    <w:p w:rsidR="0095765D" w:rsidRPr="002878A5" w:rsidRDefault="0095765D" w:rsidP="00B86181">
      <w:pPr>
        <w:pStyle w:val="ListParagraph"/>
        <w:numPr>
          <w:ilvl w:val="0"/>
          <w:numId w:val="6"/>
        </w:numPr>
        <w:pBdr>
          <w:top w:val="single" w:sz="4" w:space="1" w:color="auto"/>
          <w:left w:val="single" w:sz="4" w:space="4" w:color="auto"/>
          <w:bottom w:val="single" w:sz="4" w:space="1" w:color="auto"/>
          <w:right w:val="single" w:sz="4" w:space="4" w:color="auto"/>
        </w:pBdr>
        <w:spacing w:before="0" w:after="0" w:line="240" w:lineRule="auto"/>
        <w:rPr>
          <w:color w:val="1F497D" w:themeColor="text2"/>
          <w:sz w:val="22"/>
          <w:szCs w:val="22"/>
          <w:lang w:val="en-GB"/>
        </w:rPr>
      </w:pPr>
      <w:r w:rsidRPr="002878A5">
        <w:rPr>
          <w:color w:val="1F497D" w:themeColor="text2"/>
          <w:sz w:val="22"/>
          <w:szCs w:val="22"/>
          <w:lang w:val="en-GB"/>
        </w:rPr>
        <w:t>Advisory Services (General Business)</w:t>
      </w:r>
    </w:p>
    <w:p w:rsidR="0095765D" w:rsidRPr="00967F40" w:rsidRDefault="0095765D" w:rsidP="00B86181">
      <w:pPr>
        <w:pStyle w:val="Heading2"/>
        <w:keepNext/>
        <w:numPr>
          <w:ilvl w:val="1"/>
          <w:numId w:val="2"/>
        </w:numPr>
        <w:tabs>
          <w:tab w:val="left" w:pos="0"/>
          <w:tab w:val="left" w:pos="709"/>
        </w:tabs>
        <w:autoSpaceDE/>
        <w:autoSpaceDN/>
        <w:adjustRightInd/>
        <w:spacing w:before="360" w:line="360" w:lineRule="auto"/>
        <w:ind w:left="709" w:hanging="720"/>
        <w:jc w:val="both"/>
        <w:rPr>
          <w:lang w:val="en-GB"/>
        </w:rPr>
      </w:pPr>
      <w:bookmarkStart w:id="92" w:name="_Toc404780608"/>
      <w:bookmarkStart w:id="93" w:name="_Toc405471001"/>
      <w:r w:rsidRPr="00967F40">
        <w:rPr>
          <w:lang w:val="en-GB"/>
        </w:rPr>
        <w:lastRenderedPageBreak/>
        <w:t>Alignment with key regulatory principles</w:t>
      </w:r>
      <w:bookmarkEnd w:id="92"/>
      <w:bookmarkEnd w:id="93"/>
    </w:p>
    <w:p w:rsidR="009E56BE" w:rsidRDefault="009E56BE" w:rsidP="0095765D">
      <w:pPr>
        <w:rPr>
          <w:sz w:val="22"/>
          <w:szCs w:val="22"/>
          <w:lang w:val="en-GB"/>
        </w:rPr>
      </w:pPr>
      <w:r>
        <w:rPr>
          <w:sz w:val="22"/>
          <w:szCs w:val="22"/>
          <w:lang w:val="en-GB"/>
        </w:rPr>
        <w:t>The following key regulatory principles have been assessed:</w:t>
      </w:r>
    </w:p>
    <w:p w:rsidR="009E56BE" w:rsidRPr="009E56BE" w:rsidRDefault="009E56BE" w:rsidP="00B86181">
      <w:pPr>
        <w:pStyle w:val="ListParagraph"/>
        <w:numPr>
          <w:ilvl w:val="0"/>
          <w:numId w:val="7"/>
        </w:numPr>
        <w:rPr>
          <w:sz w:val="22"/>
          <w:szCs w:val="22"/>
          <w:lang w:val="en-GB"/>
        </w:rPr>
      </w:pPr>
      <w:r w:rsidRPr="009E56BE">
        <w:rPr>
          <w:sz w:val="22"/>
          <w:szCs w:val="22"/>
          <w:lang w:val="en-GB"/>
        </w:rPr>
        <w:t>Transparency</w:t>
      </w:r>
    </w:p>
    <w:p w:rsidR="009E56BE" w:rsidRPr="009E56BE" w:rsidRDefault="009E56BE" w:rsidP="00B86181">
      <w:pPr>
        <w:pStyle w:val="ListParagraph"/>
        <w:numPr>
          <w:ilvl w:val="0"/>
          <w:numId w:val="7"/>
        </w:numPr>
        <w:rPr>
          <w:sz w:val="22"/>
          <w:szCs w:val="22"/>
          <w:lang w:val="en-GB"/>
        </w:rPr>
      </w:pPr>
      <w:r w:rsidRPr="009E56BE">
        <w:rPr>
          <w:sz w:val="22"/>
          <w:szCs w:val="22"/>
          <w:lang w:val="en-GB"/>
        </w:rPr>
        <w:t>Neutrality</w:t>
      </w:r>
    </w:p>
    <w:p w:rsidR="009E56BE" w:rsidRPr="009E56BE" w:rsidRDefault="009E56BE" w:rsidP="00B86181">
      <w:pPr>
        <w:pStyle w:val="ListParagraph"/>
        <w:numPr>
          <w:ilvl w:val="0"/>
          <w:numId w:val="7"/>
        </w:numPr>
        <w:rPr>
          <w:sz w:val="22"/>
          <w:szCs w:val="22"/>
          <w:lang w:val="en-GB"/>
        </w:rPr>
      </w:pPr>
      <w:r w:rsidRPr="009E56BE">
        <w:rPr>
          <w:sz w:val="22"/>
          <w:szCs w:val="22"/>
          <w:lang w:val="en-GB"/>
        </w:rPr>
        <w:t>Consistency</w:t>
      </w:r>
    </w:p>
    <w:p w:rsidR="009E56BE" w:rsidRPr="009E56BE" w:rsidRDefault="009E56BE" w:rsidP="00B86181">
      <w:pPr>
        <w:pStyle w:val="ListParagraph"/>
        <w:numPr>
          <w:ilvl w:val="0"/>
          <w:numId w:val="7"/>
        </w:numPr>
        <w:rPr>
          <w:sz w:val="22"/>
          <w:szCs w:val="22"/>
          <w:lang w:val="en-GB"/>
        </w:rPr>
      </w:pPr>
      <w:r w:rsidRPr="009E56BE">
        <w:rPr>
          <w:sz w:val="22"/>
          <w:szCs w:val="22"/>
          <w:lang w:val="en-GB"/>
        </w:rPr>
        <w:t>Predictability</w:t>
      </w:r>
    </w:p>
    <w:p w:rsidR="009E56BE" w:rsidRPr="009E56BE" w:rsidRDefault="009E56BE" w:rsidP="00B86181">
      <w:pPr>
        <w:pStyle w:val="ListParagraph"/>
        <w:numPr>
          <w:ilvl w:val="0"/>
          <w:numId w:val="7"/>
        </w:numPr>
        <w:rPr>
          <w:sz w:val="22"/>
          <w:szCs w:val="22"/>
          <w:lang w:val="en-GB"/>
        </w:rPr>
      </w:pPr>
      <w:r w:rsidRPr="009E56BE">
        <w:rPr>
          <w:sz w:val="22"/>
          <w:szCs w:val="22"/>
          <w:lang w:val="en-GB"/>
        </w:rPr>
        <w:t>Independence</w:t>
      </w:r>
    </w:p>
    <w:p w:rsidR="009E56BE" w:rsidRPr="009E56BE" w:rsidRDefault="009E56BE" w:rsidP="00B86181">
      <w:pPr>
        <w:pStyle w:val="ListParagraph"/>
        <w:numPr>
          <w:ilvl w:val="0"/>
          <w:numId w:val="7"/>
        </w:numPr>
        <w:rPr>
          <w:sz w:val="22"/>
          <w:szCs w:val="22"/>
          <w:lang w:val="en-GB"/>
        </w:rPr>
      </w:pPr>
      <w:r w:rsidRPr="009E56BE">
        <w:rPr>
          <w:sz w:val="22"/>
          <w:szCs w:val="22"/>
          <w:lang w:val="en-GB"/>
        </w:rPr>
        <w:t>Accountability</w:t>
      </w:r>
    </w:p>
    <w:p w:rsidR="009E56BE" w:rsidRPr="009E56BE" w:rsidRDefault="009E56BE" w:rsidP="00B86181">
      <w:pPr>
        <w:pStyle w:val="ListParagraph"/>
        <w:numPr>
          <w:ilvl w:val="0"/>
          <w:numId w:val="7"/>
        </w:numPr>
        <w:rPr>
          <w:sz w:val="22"/>
          <w:szCs w:val="22"/>
          <w:lang w:val="en-GB"/>
        </w:rPr>
      </w:pPr>
      <w:r w:rsidRPr="009E56BE">
        <w:rPr>
          <w:sz w:val="22"/>
          <w:szCs w:val="22"/>
          <w:lang w:val="en-GB"/>
        </w:rPr>
        <w:t>Integrity</w:t>
      </w:r>
    </w:p>
    <w:p w:rsidR="009E56BE" w:rsidRPr="009E56BE" w:rsidRDefault="009E56BE" w:rsidP="00B86181">
      <w:pPr>
        <w:pStyle w:val="ListParagraph"/>
        <w:numPr>
          <w:ilvl w:val="0"/>
          <w:numId w:val="7"/>
        </w:numPr>
        <w:rPr>
          <w:sz w:val="22"/>
          <w:szCs w:val="22"/>
          <w:lang w:val="en-GB"/>
        </w:rPr>
      </w:pPr>
      <w:r w:rsidRPr="009E56BE">
        <w:rPr>
          <w:sz w:val="22"/>
          <w:szCs w:val="22"/>
          <w:lang w:val="en-GB"/>
        </w:rPr>
        <w:t>Efficiency</w:t>
      </w:r>
    </w:p>
    <w:p w:rsidR="0095765D" w:rsidRPr="002878A5" w:rsidRDefault="0095765D" w:rsidP="0095765D">
      <w:pPr>
        <w:rPr>
          <w:sz w:val="22"/>
          <w:szCs w:val="22"/>
          <w:lang w:val="en-GB"/>
        </w:rPr>
      </w:pPr>
      <w:r w:rsidRPr="002878A5">
        <w:rPr>
          <w:sz w:val="22"/>
          <w:szCs w:val="22"/>
          <w:lang w:val="en-GB"/>
        </w:rPr>
        <w:t>There is some misalignment with these principles and it is proposed that this can be improved by further training</w:t>
      </w:r>
      <w:r w:rsidR="009E56BE">
        <w:rPr>
          <w:sz w:val="22"/>
          <w:szCs w:val="22"/>
          <w:lang w:val="en-GB"/>
        </w:rPr>
        <w:t xml:space="preserve"> and empowerment of regulators,</w:t>
      </w:r>
      <w:r w:rsidRPr="002878A5">
        <w:rPr>
          <w:sz w:val="22"/>
          <w:szCs w:val="22"/>
          <w:lang w:val="en-GB"/>
        </w:rPr>
        <w:t xml:space="preserve"> especially with regards to certain sensitive issues relating to socio-economic issues and policy trade-offs.</w:t>
      </w:r>
    </w:p>
    <w:p w:rsidR="0095765D" w:rsidRPr="002878A5"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Recommendation 7:</w:t>
      </w:r>
    </w:p>
    <w:p w:rsidR="0095765D" w:rsidRPr="002878A5" w:rsidRDefault="0095765D" w:rsidP="0095765D">
      <w:pPr>
        <w:pBdr>
          <w:top w:val="single" w:sz="4" w:space="1" w:color="auto"/>
          <w:left w:val="single" w:sz="4" w:space="4" w:color="auto"/>
          <w:bottom w:val="single" w:sz="4" w:space="1" w:color="auto"/>
          <w:right w:val="single" w:sz="4" w:space="4" w:color="auto"/>
        </w:pBdr>
        <w:rPr>
          <w:color w:val="1F497D" w:themeColor="text2"/>
          <w:sz w:val="22"/>
          <w:szCs w:val="22"/>
          <w:lang w:val="en-GB"/>
        </w:rPr>
      </w:pPr>
      <w:r w:rsidRPr="002878A5">
        <w:rPr>
          <w:color w:val="1F497D" w:themeColor="text2"/>
          <w:sz w:val="22"/>
          <w:szCs w:val="22"/>
          <w:lang w:val="en-GB"/>
        </w:rPr>
        <w:t>Check alignment in the next survey as a litmus test of the ongoing improvement of the RERA members.</w:t>
      </w:r>
    </w:p>
    <w:p w:rsidR="0095765D" w:rsidRPr="00121A66" w:rsidRDefault="0095765D" w:rsidP="0095765D">
      <w:pPr>
        <w:rPr>
          <w:lang w:val="en-GB"/>
        </w:rPr>
      </w:pPr>
    </w:p>
    <w:p w:rsidR="00E61092" w:rsidRDefault="0095765D" w:rsidP="0095765D">
      <w:r>
        <w:t xml:space="preserve"> </w:t>
      </w:r>
    </w:p>
    <w:sectPr w:rsidR="00E61092" w:rsidSect="00F34A1E">
      <w:headerReference w:type="default" r:id="rId37"/>
      <w:footerReference w:type="even" r:id="rId38"/>
      <w:footerReference w:type="default" r:id="rId39"/>
      <w:pgSz w:w="11909" w:h="16834" w:code="9"/>
      <w:pgMar w:top="1152" w:right="1152" w:bottom="1728"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EEB" w:rsidRDefault="004A4EEB" w:rsidP="00E61092">
      <w:r>
        <w:separator/>
      </w:r>
    </w:p>
  </w:endnote>
  <w:endnote w:type="continuationSeparator" w:id="0">
    <w:p w:rsidR="004A4EEB" w:rsidRDefault="004A4EEB" w:rsidP="00E6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B5" w:rsidRDefault="00C008B5" w:rsidP="00E6109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08B5" w:rsidRDefault="00C008B5" w:rsidP="00E610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B5" w:rsidRPr="003228E0" w:rsidRDefault="00C008B5" w:rsidP="00E61092">
    <w:pPr>
      <w:rPr>
        <w:b/>
        <w:i/>
        <w:sz w:val="20"/>
        <w:szCs w:val="32"/>
      </w:rPr>
    </w:pPr>
    <w:r w:rsidRPr="003228E0">
      <w:rPr>
        <w:b/>
        <w:i/>
        <w:sz w:val="20"/>
        <w:szCs w:val="32"/>
      </w:rPr>
      <w:t>DISCLAIMER</w:t>
    </w:r>
  </w:p>
  <w:p w:rsidR="00C008B5" w:rsidRPr="00ED0A3B" w:rsidRDefault="00C008B5" w:rsidP="00E61092">
    <w:pPr>
      <w:rPr>
        <w:i/>
        <w:sz w:val="20"/>
        <w:szCs w:val="32"/>
      </w:rPr>
    </w:pPr>
    <w:r w:rsidRPr="003228E0">
      <w:rPr>
        <w:i/>
        <w:sz w:val="20"/>
        <w:szCs w:val="32"/>
      </w:rPr>
      <w:t>The author’s views expressed in this publication do not necessarily reflect the views of the United States Agency for International Development or the United States Government.</w:t>
    </w:r>
  </w:p>
  <w:p w:rsidR="00C008B5" w:rsidRPr="004C4EE4" w:rsidRDefault="00C008B5" w:rsidP="00E61092">
    <w:pPr>
      <w:pBdr>
        <w:top w:val="single" w:sz="4" w:space="0" w:color="auto"/>
      </w:pBd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40" w:lineRule="atLeast"/>
      <w:jc w:val="center"/>
      <w:rPr>
        <w:sz w:val="14"/>
        <w:szCs w:val="14"/>
      </w:rPr>
    </w:pPr>
    <w:r w:rsidRPr="004C4EE4">
      <w:rPr>
        <w:sz w:val="14"/>
        <w:szCs w:val="14"/>
      </w:rPr>
      <w:t xml:space="preserve">PO Box 602090 ● </w:t>
    </w:r>
    <w:r>
      <w:rPr>
        <w:sz w:val="14"/>
        <w:szCs w:val="14"/>
      </w:rPr>
      <w:t xml:space="preserve">Plot 50668, </w:t>
    </w:r>
    <w:proofErr w:type="spellStart"/>
    <w:r>
      <w:rPr>
        <w:sz w:val="14"/>
        <w:szCs w:val="14"/>
      </w:rPr>
      <w:t>Tholo</w:t>
    </w:r>
    <w:proofErr w:type="spellEnd"/>
    <w:r>
      <w:rPr>
        <w:sz w:val="14"/>
        <w:szCs w:val="14"/>
      </w:rPr>
      <w:t xml:space="preserve"> Park, Fairgrounds</w:t>
    </w:r>
    <w:r w:rsidRPr="004C4EE4">
      <w:rPr>
        <w:sz w:val="14"/>
        <w:szCs w:val="14"/>
      </w:rPr>
      <w:t xml:space="preserve"> ● Gaborone, Botswana ● Phone (267) 390 0884 ● Fax (267) 390 1027 ● </w:t>
    </w:r>
    <w:hyperlink r:id="rId1" w:history="1">
      <w:r w:rsidRPr="004C4EE4">
        <w:rPr>
          <w:rStyle w:val="Hyperlink"/>
          <w:sz w:val="14"/>
          <w:szCs w:val="14"/>
        </w:rPr>
        <w:t>info@satradehub.org</w:t>
      </w:r>
    </w:hyperlink>
    <w:r>
      <w:rPr>
        <w:sz w:val="14"/>
        <w:szCs w:val="14"/>
      </w:rPr>
      <w:br/>
    </w:r>
    <w:hyperlink r:id="rId2" w:history="1">
      <w:r w:rsidRPr="005758AB">
        <w:rPr>
          <w:rStyle w:val="Hyperlink"/>
          <w:sz w:val="14"/>
          <w:szCs w:val="14"/>
        </w:rPr>
        <w:t>www.satradehub.org</w:t>
      </w:r>
    </w:hyperlink>
    <w:r>
      <w:rPr>
        <w:sz w:val="14"/>
        <w:szCs w:val="14"/>
      </w:rPr>
      <w:t xml:space="preserve"> </w:t>
    </w:r>
  </w:p>
  <w:p w:rsidR="00C008B5" w:rsidRPr="00034FAD" w:rsidRDefault="00C008B5" w:rsidP="00E61092"/>
  <w:p w:rsidR="00C008B5" w:rsidRDefault="00C008B5" w:rsidP="00E61092">
    <w:pPr>
      <w:pStyle w:val="Footer"/>
    </w:pPr>
    <w:r>
      <w:rPr>
        <w:noProof/>
      </w:rPr>
      <w:drawing>
        <wp:anchor distT="0" distB="0" distL="114300" distR="114300" simplePos="0" relativeHeight="251656192" behindDoc="0" locked="0" layoutInCell="1" allowOverlap="1">
          <wp:simplePos x="0" y="0"/>
          <wp:positionH relativeFrom="column">
            <wp:align>center</wp:align>
          </wp:positionH>
          <wp:positionV relativeFrom="paragraph">
            <wp:posOffset>-175895</wp:posOffset>
          </wp:positionV>
          <wp:extent cx="4105275" cy="369570"/>
          <wp:effectExtent l="0" t="0" r="9525" b="0"/>
          <wp:wrapNone/>
          <wp:docPr id="2" name="Picture 1" descr="USAID Souther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ID Southern Afric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05275" cy="369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B5" w:rsidRDefault="00C008B5" w:rsidP="00E6109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008B5" w:rsidRDefault="00C008B5" w:rsidP="00E6109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B5" w:rsidRPr="00051B1B" w:rsidRDefault="00C008B5" w:rsidP="003E0B61">
    <w:pPr>
      <w:pStyle w:val="Footer"/>
      <w:jc w:val="right"/>
    </w:pPr>
    <w:r w:rsidRPr="00051B1B">
      <w:fldChar w:fldCharType="begin"/>
    </w:r>
    <w:r w:rsidRPr="00051B1B">
      <w:instrText xml:space="preserve"> PAGE   \* MERGEFORMAT </w:instrText>
    </w:r>
    <w:r w:rsidRPr="00051B1B">
      <w:fldChar w:fldCharType="separate"/>
    </w:r>
    <w:r w:rsidR="0027527A">
      <w:rPr>
        <w:noProof/>
      </w:rPr>
      <w:t>2</w:t>
    </w:r>
    <w:r w:rsidRPr="00051B1B">
      <w:rPr>
        <w:noProof/>
      </w:rPr>
      <w:fldChar w:fldCharType="end"/>
    </w:r>
  </w:p>
  <w:p w:rsidR="00C008B5" w:rsidRPr="003E0B61" w:rsidRDefault="00C008B5" w:rsidP="003E0B61">
    <w:pPr>
      <w:pBdr>
        <w:top w:val="single" w:sz="4" w:space="0" w:color="auto"/>
      </w:pBd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40" w:lineRule="atLeast"/>
      <w:jc w:val="center"/>
    </w:pPr>
    <w:r>
      <w:rPr>
        <w:sz w:val="14"/>
        <w:szCs w:val="14"/>
      </w:rPr>
      <w:t>USAID Southern Africa Trade Hub</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EEB" w:rsidRDefault="004A4EEB" w:rsidP="00E61092">
      <w:r>
        <w:separator/>
      </w:r>
    </w:p>
  </w:footnote>
  <w:footnote w:type="continuationSeparator" w:id="0">
    <w:p w:rsidR="004A4EEB" w:rsidRDefault="004A4EEB" w:rsidP="00E610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B5" w:rsidRPr="00B2501E" w:rsidRDefault="00C008B5" w:rsidP="00E61092">
    <w:pPr>
      <w:pStyle w:val="Header"/>
    </w:pPr>
    <w:r>
      <w:rPr>
        <w:noProof/>
      </w:rPr>
      <w:drawing>
        <wp:inline distT="0" distB="0" distL="0" distR="0">
          <wp:extent cx="6972300" cy="1097280"/>
          <wp:effectExtent l="0" t="0" r="0" b="7620"/>
          <wp:docPr id="1" name="Picture 1" descr="SATH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HNe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109728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B5" w:rsidRDefault="00C008B5" w:rsidP="00E6109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0548"/>
    <w:multiLevelType w:val="multilevel"/>
    <w:tmpl w:val="F6E8A34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366B76"/>
    <w:multiLevelType w:val="multilevel"/>
    <w:tmpl w:val="F6E8A34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927E0C"/>
    <w:multiLevelType w:val="hybridMultilevel"/>
    <w:tmpl w:val="C2ACDB80"/>
    <w:lvl w:ilvl="0" w:tplc="4D7E4868">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151339B0"/>
    <w:multiLevelType w:val="hybridMultilevel"/>
    <w:tmpl w:val="AAFE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22188"/>
    <w:multiLevelType w:val="multilevel"/>
    <w:tmpl w:val="AC5E0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90E0AF2"/>
    <w:multiLevelType w:val="hybridMultilevel"/>
    <w:tmpl w:val="2444AD04"/>
    <w:lvl w:ilvl="0" w:tplc="282EC11C">
      <w:start w:val="1"/>
      <w:numFmt w:val="bullet"/>
      <w:pStyle w:val="Tripbulletedlist"/>
      <w:lvlText w:val=""/>
      <w:lvlJc w:val="left"/>
      <w:pPr>
        <w:tabs>
          <w:tab w:val="num" w:pos="720"/>
        </w:tabs>
        <w:ind w:left="720" w:hanging="360"/>
      </w:pPr>
      <w:rPr>
        <w:rFonts w:ascii="Symbol" w:hAnsi="Symbol" w:hint="default"/>
        <w:lang w:val="en-US"/>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E9A607D"/>
    <w:multiLevelType w:val="hybridMultilevel"/>
    <w:tmpl w:val="D00031A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0"/>
  </w:num>
  <w:num w:numId="5">
    <w:abstractNumId w:val="4"/>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77E"/>
    <w:rsid w:val="00026DCB"/>
    <w:rsid w:val="000335CD"/>
    <w:rsid w:val="00034FAD"/>
    <w:rsid w:val="000362F2"/>
    <w:rsid w:val="000533E4"/>
    <w:rsid w:val="00074640"/>
    <w:rsid w:val="00075DCE"/>
    <w:rsid w:val="000811BF"/>
    <w:rsid w:val="0008688A"/>
    <w:rsid w:val="000964DF"/>
    <w:rsid w:val="000A1929"/>
    <w:rsid w:val="000B5232"/>
    <w:rsid w:val="000C11B7"/>
    <w:rsid w:val="000D093D"/>
    <w:rsid w:val="000D2233"/>
    <w:rsid w:val="000D6C6D"/>
    <w:rsid w:val="000E5FE1"/>
    <w:rsid w:val="000E73E0"/>
    <w:rsid w:val="000F1B65"/>
    <w:rsid w:val="000F49DA"/>
    <w:rsid w:val="00106D81"/>
    <w:rsid w:val="00113E28"/>
    <w:rsid w:val="00116B01"/>
    <w:rsid w:val="00120C25"/>
    <w:rsid w:val="00122CB4"/>
    <w:rsid w:val="001234EA"/>
    <w:rsid w:val="00133900"/>
    <w:rsid w:val="00163360"/>
    <w:rsid w:val="001A3596"/>
    <w:rsid w:val="001B29E2"/>
    <w:rsid w:val="001C70E8"/>
    <w:rsid w:val="00207D3D"/>
    <w:rsid w:val="0022231A"/>
    <w:rsid w:val="00233795"/>
    <w:rsid w:val="00250655"/>
    <w:rsid w:val="0025273B"/>
    <w:rsid w:val="00256710"/>
    <w:rsid w:val="00264F11"/>
    <w:rsid w:val="0027527A"/>
    <w:rsid w:val="00286C8B"/>
    <w:rsid w:val="002878A5"/>
    <w:rsid w:val="00290D18"/>
    <w:rsid w:val="002957FA"/>
    <w:rsid w:val="002D6D71"/>
    <w:rsid w:val="002F7354"/>
    <w:rsid w:val="00327909"/>
    <w:rsid w:val="003373EB"/>
    <w:rsid w:val="003777CD"/>
    <w:rsid w:val="003B7EF4"/>
    <w:rsid w:val="003C61D3"/>
    <w:rsid w:val="003E0B61"/>
    <w:rsid w:val="003E0FE8"/>
    <w:rsid w:val="003E3785"/>
    <w:rsid w:val="00401A73"/>
    <w:rsid w:val="0041620A"/>
    <w:rsid w:val="00422410"/>
    <w:rsid w:val="004336A2"/>
    <w:rsid w:val="00445C69"/>
    <w:rsid w:val="004512DF"/>
    <w:rsid w:val="00453559"/>
    <w:rsid w:val="00476931"/>
    <w:rsid w:val="004845B1"/>
    <w:rsid w:val="00485D00"/>
    <w:rsid w:val="004979F9"/>
    <w:rsid w:val="004A4EEB"/>
    <w:rsid w:val="004A7F87"/>
    <w:rsid w:val="004C59D9"/>
    <w:rsid w:val="00502403"/>
    <w:rsid w:val="0051224B"/>
    <w:rsid w:val="005233A4"/>
    <w:rsid w:val="0054594C"/>
    <w:rsid w:val="005958EE"/>
    <w:rsid w:val="005A0F9D"/>
    <w:rsid w:val="005A3077"/>
    <w:rsid w:val="005A50CC"/>
    <w:rsid w:val="005C1EA9"/>
    <w:rsid w:val="005F37B7"/>
    <w:rsid w:val="005F4B6B"/>
    <w:rsid w:val="006022DA"/>
    <w:rsid w:val="00617798"/>
    <w:rsid w:val="00621DFC"/>
    <w:rsid w:val="006244DE"/>
    <w:rsid w:val="006267B3"/>
    <w:rsid w:val="00646F7A"/>
    <w:rsid w:val="0064728B"/>
    <w:rsid w:val="006527FD"/>
    <w:rsid w:val="00656F48"/>
    <w:rsid w:val="00660BC4"/>
    <w:rsid w:val="00660BD9"/>
    <w:rsid w:val="00662A2F"/>
    <w:rsid w:val="006664A2"/>
    <w:rsid w:val="006A6F18"/>
    <w:rsid w:val="006C4B25"/>
    <w:rsid w:val="006C777E"/>
    <w:rsid w:val="006D0C41"/>
    <w:rsid w:val="006F33D7"/>
    <w:rsid w:val="00700625"/>
    <w:rsid w:val="007067D0"/>
    <w:rsid w:val="0071088C"/>
    <w:rsid w:val="00762458"/>
    <w:rsid w:val="00762F66"/>
    <w:rsid w:val="00763548"/>
    <w:rsid w:val="00782303"/>
    <w:rsid w:val="00783AAD"/>
    <w:rsid w:val="00790787"/>
    <w:rsid w:val="00796C96"/>
    <w:rsid w:val="007C2CA6"/>
    <w:rsid w:val="007D344D"/>
    <w:rsid w:val="007D6940"/>
    <w:rsid w:val="007F22F5"/>
    <w:rsid w:val="007F24F6"/>
    <w:rsid w:val="00805161"/>
    <w:rsid w:val="00806792"/>
    <w:rsid w:val="008428D7"/>
    <w:rsid w:val="0084454C"/>
    <w:rsid w:val="00871C17"/>
    <w:rsid w:val="00883DCE"/>
    <w:rsid w:val="00890EE3"/>
    <w:rsid w:val="008B45AB"/>
    <w:rsid w:val="008C0B85"/>
    <w:rsid w:val="008C2ACD"/>
    <w:rsid w:val="008D5E2C"/>
    <w:rsid w:val="008F2B91"/>
    <w:rsid w:val="008F54CE"/>
    <w:rsid w:val="00920C5B"/>
    <w:rsid w:val="00934734"/>
    <w:rsid w:val="00940DDD"/>
    <w:rsid w:val="0095765D"/>
    <w:rsid w:val="0097115F"/>
    <w:rsid w:val="009831E7"/>
    <w:rsid w:val="009C3E7D"/>
    <w:rsid w:val="009E56BE"/>
    <w:rsid w:val="009E58FC"/>
    <w:rsid w:val="009F4C89"/>
    <w:rsid w:val="00A141CE"/>
    <w:rsid w:val="00A33C16"/>
    <w:rsid w:val="00A40EB3"/>
    <w:rsid w:val="00A43C8E"/>
    <w:rsid w:val="00A7010F"/>
    <w:rsid w:val="00A7642E"/>
    <w:rsid w:val="00A95B38"/>
    <w:rsid w:val="00AD18C1"/>
    <w:rsid w:val="00AD19F2"/>
    <w:rsid w:val="00AE0019"/>
    <w:rsid w:val="00AE30A4"/>
    <w:rsid w:val="00AE4DFF"/>
    <w:rsid w:val="00AE7B87"/>
    <w:rsid w:val="00AF25C8"/>
    <w:rsid w:val="00AF5F5E"/>
    <w:rsid w:val="00B116A2"/>
    <w:rsid w:val="00B11A38"/>
    <w:rsid w:val="00B2501E"/>
    <w:rsid w:val="00B27CF2"/>
    <w:rsid w:val="00B36496"/>
    <w:rsid w:val="00B549DD"/>
    <w:rsid w:val="00B752DE"/>
    <w:rsid w:val="00B86181"/>
    <w:rsid w:val="00BD58CC"/>
    <w:rsid w:val="00BE6665"/>
    <w:rsid w:val="00C008B5"/>
    <w:rsid w:val="00C20AFA"/>
    <w:rsid w:val="00C32070"/>
    <w:rsid w:val="00C54097"/>
    <w:rsid w:val="00C8433C"/>
    <w:rsid w:val="00CA4A96"/>
    <w:rsid w:val="00CB38D4"/>
    <w:rsid w:val="00CC0ED2"/>
    <w:rsid w:val="00CD2A42"/>
    <w:rsid w:val="00D044CB"/>
    <w:rsid w:val="00D06D3A"/>
    <w:rsid w:val="00D15F37"/>
    <w:rsid w:val="00D75679"/>
    <w:rsid w:val="00D75918"/>
    <w:rsid w:val="00DE117B"/>
    <w:rsid w:val="00DF5BA1"/>
    <w:rsid w:val="00E176CE"/>
    <w:rsid w:val="00E61092"/>
    <w:rsid w:val="00E67321"/>
    <w:rsid w:val="00E9215A"/>
    <w:rsid w:val="00E96E5A"/>
    <w:rsid w:val="00EB4C30"/>
    <w:rsid w:val="00ED0423"/>
    <w:rsid w:val="00EE6A6C"/>
    <w:rsid w:val="00F044BA"/>
    <w:rsid w:val="00F1442F"/>
    <w:rsid w:val="00F214AB"/>
    <w:rsid w:val="00F21BB2"/>
    <w:rsid w:val="00F3429D"/>
    <w:rsid w:val="00F34A1E"/>
    <w:rsid w:val="00F35842"/>
    <w:rsid w:val="00F41ACB"/>
    <w:rsid w:val="00F43D23"/>
    <w:rsid w:val="00F82142"/>
    <w:rsid w:val="00F83266"/>
    <w:rsid w:val="00F901DB"/>
    <w:rsid w:val="00F9095B"/>
    <w:rsid w:val="00F94BEC"/>
    <w:rsid w:val="00FA5A2C"/>
    <w:rsid w:val="00FC4C38"/>
    <w:rsid w:val="00FD6E2C"/>
    <w:rsid w:val="00FD729C"/>
    <w:rsid w:val="00FE081E"/>
    <w:rsid w:val="00FF1042"/>
    <w:rsid w:val="00FF1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99" w:unhideWhenUsed="1" w:qFormat="1"/>
    <w:lsdException w:name="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SATH Normal"/>
    <w:qFormat/>
    <w:rsid w:val="00E61092"/>
    <w:pPr>
      <w:autoSpaceDE w:val="0"/>
      <w:autoSpaceDN w:val="0"/>
      <w:adjustRightInd w:val="0"/>
      <w:spacing w:after="120"/>
    </w:pPr>
    <w:rPr>
      <w:rFonts w:ascii="Arial" w:hAnsi="Arial" w:cs="Arial"/>
      <w:sz w:val="24"/>
      <w:szCs w:val="24"/>
    </w:rPr>
  </w:style>
  <w:style w:type="paragraph" w:styleId="Heading1">
    <w:name w:val="heading 1"/>
    <w:aliases w:val="SATH Heading 1"/>
    <w:basedOn w:val="Title1"/>
    <w:next w:val="Normal"/>
    <w:qFormat/>
    <w:rsid w:val="00E61092"/>
    <w:pPr>
      <w:outlineLvl w:val="0"/>
    </w:pPr>
    <w:rPr>
      <w:sz w:val="24"/>
    </w:rPr>
  </w:style>
  <w:style w:type="paragraph" w:styleId="Heading2">
    <w:name w:val="heading 2"/>
    <w:aliases w:val="SATH Heading 2"/>
    <w:basedOn w:val="Normal"/>
    <w:next w:val="Normal"/>
    <w:qFormat/>
    <w:rsid w:val="00E61092"/>
    <w:pPr>
      <w:outlineLvl w:val="1"/>
    </w:pPr>
    <w:rPr>
      <w:b/>
    </w:rPr>
  </w:style>
  <w:style w:type="paragraph" w:styleId="Heading3">
    <w:name w:val="heading 3"/>
    <w:aliases w:val="SATH Heading 3"/>
    <w:basedOn w:val="Normal"/>
    <w:next w:val="Normal"/>
    <w:qFormat/>
    <w:rsid w:val="000533E4"/>
    <w:pPr>
      <w:outlineLvl w:val="2"/>
    </w:pPr>
    <w:rPr>
      <w:b/>
    </w:rPr>
  </w:style>
  <w:style w:type="paragraph" w:styleId="Heading4">
    <w:name w:val="heading 4"/>
    <w:aliases w:val="SATH Heading 4"/>
    <w:basedOn w:val="Normal"/>
    <w:next w:val="Normal"/>
    <w:qFormat/>
    <w:rsid w:val="00E61092"/>
    <w:pPr>
      <w:keepNext/>
      <w:widowControl w:val="0"/>
      <w:tabs>
        <w:tab w:val="center" w:pos="7513"/>
      </w:tabs>
      <w:outlineLvl w:val="3"/>
    </w:pPr>
    <w:rPr>
      <w:iCs/>
      <w:color w:val="000000"/>
    </w:rPr>
  </w:style>
  <w:style w:type="paragraph" w:styleId="Heading5">
    <w:name w:val="heading 5"/>
    <w:basedOn w:val="Normal"/>
    <w:next w:val="Normal"/>
    <w:pPr>
      <w:keepNext/>
      <w:jc w:val="both"/>
      <w:outlineLvl w:val="4"/>
    </w:pPr>
    <w:rPr>
      <w:rFonts w:ascii="Garamond" w:hAnsi="Garamond"/>
      <w:b/>
      <w:bCs/>
      <w:sz w:val="28"/>
    </w:rPr>
  </w:style>
  <w:style w:type="paragraph" w:styleId="Heading6">
    <w:name w:val="heading 6"/>
    <w:basedOn w:val="Normal"/>
    <w:next w:val="Normal"/>
    <w:pPr>
      <w:keepNext/>
      <w:jc w:val="center"/>
      <w:outlineLvl w:val="5"/>
    </w:pPr>
    <w:rPr>
      <w:b/>
      <w:bCs/>
      <w:sz w:val="28"/>
    </w:rPr>
  </w:style>
  <w:style w:type="paragraph" w:styleId="Heading7">
    <w:name w:val="heading 7"/>
    <w:basedOn w:val="Normal"/>
    <w:next w:val="Normal"/>
    <w:pPr>
      <w:keepNext/>
      <w:widowControl w:val="0"/>
      <w:tabs>
        <w:tab w:val="center" w:pos="7520"/>
      </w:tabs>
      <w:spacing w:before="250"/>
      <w:jc w:val="center"/>
      <w:outlineLvl w:val="6"/>
    </w:pPr>
    <w:rPr>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widowControl w:val="0"/>
      <w:tabs>
        <w:tab w:val="left" w:pos="-720"/>
      </w:tabs>
      <w:suppressAutoHyphens/>
      <w:spacing w:line="240" w:lineRule="atLeast"/>
    </w:pPr>
  </w:style>
  <w:style w:type="paragraph" w:styleId="BodyText3">
    <w:name w:val="Body Text 3"/>
    <w:basedOn w:val="Normal"/>
    <w:rPr>
      <w:sz w:val="20"/>
    </w:rPr>
  </w:style>
  <w:style w:type="paragraph" w:styleId="Subtitle">
    <w:name w:val="Subtitle"/>
    <w:basedOn w:val="Normal"/>
    <w:pPr>
      <w:jc w:val="center"/>
    </w:pPr>
    <w:rPr>
      <w:b/>
      <w:bCs/>
      <w:sz w:val="32"/>
    </w:rPr>
  </w:style>
  <w:style w:type="character" w:styleId="Hyperlink">
    <w:name w:val="Hyperlink"/>
    <w:uiPriority w:val="99"/>
    <w:rPr>
      <w:color w:val="0000FF"/>
      <w:u w:val="single"/>
    </w:rPr>
  </w:style>
  <w:style w:type="table" w:styleId="TableGrid">
    <w:name w:val="Table Grid"/>
    <w:basedOn w:val="TableNormal"/>
    <w:rsid w:val="00A95B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ipbodytextChar">
    <w:name w:val="Trip body text Char"/>
    <w:rsid w:val="00C8433C"/>
    <w:rPr>
      <w:rFonts w:ascii="Garamond" w:hAnsi="Garamond" w:cs="Arial"/>
      <w:bCs/>
      <w:sz w:val="22"/>
      <w:szCs w:val="24"/>
      <w:lang w:val="en-US" w:eastAsia="en-US" w:bidi="ar-SA"/>
    </w:rPr>
  </w:style>
  <w:style w:type="paragraph" w:customStyle="1" w:styleId="Tripbulletedlist">
    <w:name w:val="Trip bulleted list"/>
    <w:basedOn w:val="Normal"/>
    <w:rsid w:val="00C8433C"/>
    <w:pPr>
      <w:numPr>
        <w:numId w:val="1"/>
      </w:numPr>
      <w:spacing w:after="180"/>
    </w:pPr>
    <w:rPr>
      <w:rFonts w:ascii="Garamond" w:hAnsi="Garamond"/>
      <w:bCs/>
      <w:sz w:val="22"/>
    </w:rPr>
  </w:style>
  <w:style w:type="paragraph" w:customStyle="1" w:styleId="1Char">
    <w:name w:val="1 Char"/>
    <w:basedOn w:val="Normal"/>
    <w:next w:val="Normal"/>
    <w:rsid w:val="00805161"/>
    <w:pPr>
      <w:spacing w:after="160" w:line="240" w:lineRule="exact"/>
    </w:pPr>
    <w:rPr>
      <w:rFonts w:ascii="Tahoma" w:hAnsi="Tahoma"/>
      <w:szCs w:val="20"/>
    </w:rPr>
  </w:style>
  <w:style w:type="paragraph" w:styleId="NormalWeb">
    <w:name w:val="Normal (Web)"/>
    <w:basedOn w:val="Normal"/>
    <w:rsid w:val="00805161"/>
    <w:pPr>
      <w:spacing w:before="100" w:beforeAutospacing="1" w:after="100" w:afterAutospacing="1"/>
    </w:pPr>
    <w:rPr>
      <w:rFonts w:eastAsia="SimSun"/>
      <w:color w:val="000000"/>
      <w:lang w:eastAsia="zh-CN"/>
    </w:rPr>
  </w:style>
  <w:style w:type="paragraph" w:customStyle="1" w:styleId="CarCar">
    <w:name w:val="Car Car"/>
    <w:basedOn w:val="Normal"/>
    <w:next w:val="Normal"/>
    <w:rsid w:val="00805161"/>
    <w:pPr>
      <w:spacing w:after="160" w:line="240" w:lineRule="exact"/>
    </w:pPr>
    <w:rPr>
      <w:rFonts w:ascii="Tahoma" w:hAnsi="Tahoma"/>
      <w:szCs w:val="20"/>
    </w:rPr>
  </w:style>
  <w:style w:type="paragraph" w:styleId="PlainText">
    <w:name w:val="Plain Text"/>
    <w:basedOn w:val="Normal"/>
    <w:rsid w:val="00805161"/>
    <w:pPr>
      <w:spacing w:after="140" w:line="280" w:lineRule="exact"/>
    </w:pPr>
    <w:rPr>
      <w:rFonts w:ascii="Courier" w:eastAsia="Times" w:hAnsi="Courier"/>
      <w:sz w:val="22"/>
      <w:szCs w:val="20"/>
    </w:rPr>
  </w:style>
  <w:style w:type="character" w:styleId="Emphasis">
    <w:name w:val="Emphasis"/>
    <w:rsid w:val="005C1EA9"/>
    <w:rPr>
      <w:i/>
      <w:iCs/>
    </w:rPr>
  </w:style>
  <w:style w:type="character" w:styleId="FollowedHyperlink">
    <w:name w:val="FollowedHyperlink"/>
    <w:rsid w:val="00250655"/>
    <w:rPr>
      <w:color w:val="800080"/>
      <w:u w:val="single"/>
    </w:rPr>
  </w:style>
  <w:style w:type="character" w:customStyle="1" w:styleId="FooterChar">
    <w:name w:val="Footer Char"/>
    <w:link w:val="Footer"/>
    <w:uiPriority w:val="99"/>
    <w:rsid w:val="005A3077"/>
    <w:rPr>
      <w:sz w:val="24"/>
      <w:szCs w:val="24"/>
    </w:rPr>
  </w:style>
  <w:style w:type="paragraph" w:customStyle="1" w:styleId="Title1">
    <w:name w:val="Title1"/>
    <w:basedOn w:val="Normal"/>
    <w:link w:val="titleChar"/>
    <w:rsid w:val="00C54097"/>
    <w:pPr>
      <w:pBdr>
        <w:bottom w:val="single" w:sz="4" w:space="1" w:color="auto"/>
      </w:pBdr>
      <w:jc w:val="both"/>
    </w:pPr>
    <w:rPr>
      <w:b/>
      <w:sz w:val="28"/>
      <w:szCs w:val="28"/>
    </w:rPr>
  </w:style>
  <w:style w:type="character" w:customStyle="1" w:styleId="titleChar">
    <w:name w:val="title Char"/>
    <w:link w:val="Title1"/>
    <w:rsid w:val="00C54097"/>
    <w:rPr>
      <w:rFonts w:ascii="Arial" w:hAnsi="Arial" w:cs="Arial"/>
      <w:b/>
      <w:sz w:val="28"/>
      <w:szCs w:val="28"/>
    </w:rPr>
  </w:style>
  <w:style w:type="paragraph" w:styleId="TOCHeading">
    <w:name w:val="TOC Heading"/>
    <w:basedOn w:val="Heading1"/>
    <w:next w:val="Normal"/>
    <w:uiPriority w:val="39"/>
    <w:semiHidden/>
    <w:unhideWhenUsed/>
    <w:qFormat/>
    <w:rsid w:val="00E61092"/>
    <w:pPr>
      <w:keepNext/>
      <w:keepLines/>
      <w:pBdr>
        <w:bottom w:val="none" w:sz="0" w:space="0" w:color="auto"/>
      </w:pBdr>
      <w:spacing w:before="480" w:line="276" w:lineRule="auto"/>
      <w:jc w:val="left"/>
      <w:outlineLvl w:val="9"/>
    </w:pPr>
    <w:rPr>
      <w:rFonts w:ascii="Cambria" w:eastAsia="MS Gothic" w:hAnsi="Cambria" w:cs="Times New Roman"/>
      <w:bCs/>
      <w:color w:val="365F91"/>
      <w:sz w:val="28"/>
      <w:lang w:eastAsia="ja-JP"/>
    </w:rPr>
  </w:style>
  <w:style w:type="paragraph" w:styleId="TOC1">
    <w:name w:val="toc 1"/>
    <w:basedOn w:val="Normal"/>
    <w:next w:val="Normal"/>
    <w:autoRedefine/>
    <w:uiPriority w:val="39"/>
    <w:rsid w:val="00E61092"/>
  </w:style>
  <w:style w:type="paragraph" w:styleId="TOC2">
    <w:name w:val="toc 2"/>
    <w:basedOn w:val="Normal"/>
    <w:next w:val="Normal"/>
    <w:autoRedefine/>
    <w:uiPriority w:val="39"/>
    <w:rsid w:val="00E61092"/>
    <w:pPr>
      <w:ind w:left="240"/>
    </w:pPr>
  </w:style>
  <w:style w:type="paragraph" w:styleId="TOC3">
    <w:name w:val="toc 3"/>
    <w:basedOn w:val="Normal"/>
    <w:next w:val="Normal"/>
    <w:autoRedefine/>
    <w:uiPriority w:val="39"/>
    <w:rsid w:val="00E61092"/>
    <w:pPr>
      <w:ind w:left="480"/>
    </w:pPr>
  </w:style>
  <w:style w:type="paragraph" w:styleId="FootnoteText">
    <w:name w:val="footnote text"/>
    <w:basedOn w:val="Normal"/>
    <w:link w:val="FootnoteTextChar"/>
    <w:rsid w:val="00E61092"/>
    <w:rPr>
      <w:sz w:val="20"/>
      <w:szCs w:val="20"/>
    </w:rPr>
  </w:style>
  <w:style w:type="paragraph" w:styleId="TOC4">
    <w:name w:val="toc 4"/>
    <w:basedOn w:val="Normal"/>
    <w:next w:val="Normal"/>
    <w:autoRedefine/>
    <w:rsid w:val="00E61092"/>
    <w:pPr>
      <w:ind w:left="720"/>
    </w:pPr>
  </w:style>
  <w:style w:type="paragraph" w:styleId="TOC5">
    <w:name w:val="toc 5"/>
    <w:basedOn w:val="Normal"/>
    <w:next w:val="Normal"/>
    <w:autoRedefine/>
    <w:rsid w:val="00E61092"/>
    <w:pPr>
      <w:ind w:left="960"/>
    </w:pPr>
  </w:style>
  <w:style w:type="character" w:customStyle="1" w:styleId="FootnoteTextChar">
    <w:name w:val="Footnote Text Char"/>
    <w:link w:val="FootnoteText"/>
    <w:rsid w:val="00E61092"/>
    <w:rPr>
      <w:rFonts w:ascii="Arial" w:hAnsi="Arial" w:cs="Arial"/>
    </w:rPr>
  </w:style>
  <w:style w:type="character" w:styleId="FootnoteReference">
    <w:name w:val="footnote reference"/>
    <w:rsid w:val="00E61092"/>
    <w:rPr>
      <w:vertAlign w:val="superscript"/>
    </w:rPr>
  </w:style>
  <w:style w:type="paragraph" w:customStyle="1" w:styleId="SATHFootnote">
    <w:name w:val="SATH Footnote"/>
    <w:basedOn w:val="FootnoteText"/>
    <w:link w:val="SATHFootnoteChar"/>
    <w:qFormat/>
    <w:rsid w:val="00E61092"/>
    <w:rPr>
      <w:rFonts w:ascii="Times New Roman" w:hAnsi="Times New Roman"/>
    </w:rPr>
  </w:style>
  <w:style w:type="paragraph" w:styleId="Title">
    <w:name w:val="Title"/>
    <w:aliases w:val="SATH Tables &amp; Figures"/>
    <w:basedOn w:val="Normal"/>
    <w:next w:val="Normal"/>
    <w:link w:val="TitleChar0"/>
    <w:qFormat/>
    <w:rsid w:val="00E61092"/>
    <w:pPr>
      <w:outlineLvl w:val="0"/>
    </w:pPr>
    <w:rPr>
      <w:rFonts w:cs="Times New Roman"/>
      <w:b/>
      <w:bCs/>
      <w:kern w:val="28"/>
      <w:szCs w:val="32"/>
    </w:rPr>
  </w:style>
  <w:style w:type="character" w:customStyle="1" w:styleId="SATHFootnoteChar">
    <w:name w:val="SATH Footnote Char"/>
    <w:basedOn w:val="FootnoteTextChar"/>
    <w:link w:val="SATHFootnote"/>
    <w:rsid w:val="00E61092"/>
    <w:rPr>
      <w:rFonts w:ascii="Arial" w:hAnsi="Arial" w:cs="Arial"/>
    </w:rPr>
  </w:style>
  <w:style w:type="character" w:customStyle="1" w:styleId="TitleChar0">
    <w:name w:val="Title Char"/>
    <w:aliases w:val="SATH Tables &amp; Figures Char"/>
    <w:link w:val="Title"/>
    <w:rsid w:val="00E61092"/>
    <w:rPr>
      <w:rFonts w:ascii="Arial" w:eastAsia="Times New Roman" w:hAnsi="Arial" w:cs="Times New Roman"/>
      <w:b/>
      <w:bCs/>
      <w:kern w:val="28"/>
      <w:sz w:val="24"/>
      <w:szCs w:val="32"/>
    </w:rPr>
  </w:style>
  <w:style w:type="paragraph" w:styleId="Quote">
    <w:name w:val="Quote"/>
    <w:basedOn w:val="Normal"/>
    <w:next w:val="Normal"/>
    <w:link w:val="QuoteChar"/>
    <w:uiPriority w:val="29"/>
    <w:qFormat/>
    <w:rsid w:val="00E61092"/>
    <w:rPr>
      <w:i/>
      <w:iCs/>
      <w:color w:val="000000"/>
    </w:rPr>
  </w:style>
  <w:style w:type="character" w:customStyle="1" w:styleId="QuoteChar">
    <w:name w:val="Quote Char"/>
    <w:link w:val="Quote"/>
    <w:uiPriority w:val="29"/>
    <w:rsid w:val="00E61092"/>
    <w:rPr>
      <w:rFonts w:ascii="Arial" w:hAnsi="Arial" w:cs="Arial"/>
      <w:i/>
      <w:iCs/>
      <w:color w:val="000000"/>
      <w:sz w:val="24"/>
      <w:szCs w:val="24"/>
    </w:rPr>
  </w:style>
  <w:style w:type="paragraph" w:customStyle="1" w:styleId="SATHSource">
    <w:name w:val="SATH Source"/>
    <w:basedOn w:val="Normal"/>
    <w:link w:val="SATHSourceChar"/>
    <w:qFormat/>
    <w:rsid w:val="00AE0019"/>
    <w:pPr>
      <w:spacing w:before="120"/>
    </w:pPr>
    <w:rPr>
      <w:sz w:val="20"/>
    </w:rPr>
  </w:style>
  <w:style w:type="paragraph" w:styleId="Caption">
    <w:name w:val="caption"/>
    <w:basedOn w:val="Normal"/>
    <w:next w:val="BodyText"/>
    <w:uiPriority w:val="99"/>
    <w:qFormat/>
    <w:rsid w:val="0095765D"/>
    <w:pPr>
      <w:keepNext/>
      <w:autoSpaceDE/>
      <w:autoSpaceDN/>
      <w:adjustRightInd/>
      <w:spacing w:before="360" w:line="360" w:lineRule="auto"/>
      <w:jc w:val="both"/>
    </w:pPr>
    <w:rPr>
      <w:rFonts w:ascii="Century Gothic" w:hAnsi="Century Gothic" w:cs="Times New Roman"/>
      <w:b/>
      <w:color w:val="000080"/>
      <w:sz w:val="20"/>
      <w:szCs w:val="20"/>
      <w:lang w:val="en-ZA"/>
    </w:rPr>
  </w:style>
  <w:style w:type="character" w:customStyle="1" w:styleId="SATHSourceChar">
    <w:name w:val="SATH Source Char"/>
    <w:link w:val="SATHSource"/>
    <w:rsid w:val="00AE0019"/>
    <w:rPr>
      <w:rFonts w:ascii="Arial" w:hAnsi="Arial" w:cs="Arial"/>
      <w:szCs w:val="24"/>
    </w:rPr>
  </w:style>
  <w:style w:type="paragraph" w:styleId="ListParagraph">
    <w:name w:val="List Paragraph"/>
    <w:basedOn w:val="Normal"/>
    <w:uiPriority w:val="34"/>
    <w:qFormat/>
    <w:rsid w:val="0095765D"/>
    <w:pPr>
      <w:autoSpaceDE/>
      <w:autoSpaceDN/>
      <w:adjustRightInd/>
      <w:spacing w:before="120" w:line="360" w:lineRule="auto"/>
      <w:ind w:left="720"/>
      <w:contextualSpacing/>
      <w:jc w:val="both"/>
    </w:pPr>
    <w:rPr>
      <w:rFonts w:cs="Times New Roman"/>
      <w:sz w:val="20"/>
      <w:lang w:val="en-ZA"/>
    </w:rPr>
  </w:style>
  <w:style w:type="character" w:customStyle="1" w:styleId="apple-converted-space">
    <w:name w:val="apple-converted-space"/>
    <w:basedOn w:val="DefaultParagraphFont"/>
    <w:rsid w:val="0095765D"/>
  </w:style>
  <w:style w:type="table" w:styleId="MediumList1-Accent1">
    <w:name w:val="Medium List 1 Accent 1"/>
    <w:basedOn w:val="TableNormal"/>
    <w:uiPriority w:val="65"/>
    <w:rsid w:val="0095765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alloonText">
    <w:name w:val="Balloon Text"/>
    <w:basedOn w:val="Normal"/>
    <w:link w:val="BalloonTextChar"/>
    <w:rsid w:val="0095765D"/>
    <w:pPr>
      <w:spacing w:after="0"/>
    </w:pPr>
    <w:rPr>
      <w:rFonts w:ascii="Tahoma" w:hAnsi="Tahoma" w:cs="Tahoma"/>
      <w:sz w:val="16"/>
      <w:szCs w:val="16"/>
    </w:rPr>
  </w:style>
  <w:style w:type="character" w:customStyle="1" w:styleId="BalloonTextChar">
    <w:name w:val="Balloon Text Char"/>
    <w:basedOn w:val="DefaultParagraphFont"/>
    <w:link w:val="BalloonText"/>
    <w:rsid w:val="0095765D"/>
    <w:rPr>
      <w:rFonts w:ascii="Tahoma" w:hAnsi="Tahoma" w:cs="Tahoma"/>
      <w:sz w:val="16"/>
      <w:szCs w:val="16"/>
    </w:rPr>
  </w:style>
  <w:style w:type="paragraph" w:customStyle="1" w:styleId="Default">
    <w:name w:val="Default"/>
    <w:rsid w:val="00F214AB"/>
    <w:pPr>
      <w:widowControl w:val="0"/>
      <w:autoSpaceDE w:val="0"/>
      <w:autoSpaceDN w:val="0"/>
      <w:adjustRightInd w:val="0"/>
    </w:pPr>
    <w:rPr>
      <w:rFonts w:eastAsiaTheme="minorEastAsi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99" w:unhideWhenUsed="1" w:qFormat="1"/>
    <w:lsdException w:name="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SATH Normal"/>
    <w:qFormat/>
    <w:rsid w:val="00E61092"/>
    <w:pPr>
      <w:autoSpaceDE w:val="0"/>
      <w:autoSpaceDN w:val="0"/>
      <w:adjustRightInd w:val="0"/>
      <w:spacing w:after="120"/>
    </w:pPr>
    <w:rPr>
      <w:rFonts w:ascii="Arial" w:hAnsi="Arial" w:cs="Arial"/>
      <w:sz w:val="24"/>
      <w:szCs w:val="24"/>
    </w:rPr>
  </w:style>
  <w:style w:type="paragraph" w:styleId="Heading1">
    <w:name w:val="heading 1"/>
    <w:aliases w:val="SATH Heading 1"/>
    <w:basedOn w:val="Title1"/>
    <w:next w:val="Normal"/>
    <w:qFormat/>
    <w:rsid w:val="00E61092"/>
    <w:pPr>
      <w:outlineLvl w:val="0"/>
    </w:pPr>
    <w:rPr>
      <w:sz w:val="24"/>
    </w:rPr>
  </w:style>
  <w:style w:type="paragraph" w:styleId="Heading2">
    <w:name w:val="heading 2"/>
    <w:aliases w:val="SATH Heading 2"/>
    <w:basedOn w:val="Normal"/>
    <w:next w:val="Normal"/>
    <w:qFormat/>
    <w:rsid w:val="00E61092"/>
    <w:pPr>
      <w:outlineLvl w:val="1"/>
    </w:pPr>
    <w:rPr>
      <w:b/>
    </w:rPr>
  </w:style>
  <w:style w:type="paragraph" w:styleId="Heading3">
    <w:name w:val="heading 3"/>
    <w:aliases w:val="SATH Heading 3"/>
    <w:basedOn w:val="Normal"/>
    <w:next w:val="Normal"/>
    <w:qFormat/>
    <w:rsid w:val="000533E4"/>
    <w:pPr>
      <w:outlineLvl w:val="2"/>
    </w:pPr>
    <w:rPr>
      <w:b/>
    </w:rPr>
  </w:style>
  <w:style w:type="paragraph" w:styleId="Heading4">
    <w:name w:val="heading 4"/>
    <w:aliases w:val="SATH Heading 4"/>
    <w:basedOn w:val="Normal"/>
    <w:next w:val="Normal"/>
    <w:qFormat/>
    <w:rsid w:val="00E61092"/>
    <w:pPr>
      <w:keepNext/>
      <w:widowControl w:val="0"/>
      <w:tabs>
        <w:tab w:val="center" w:pos="7513"/>
      </w:tabs>
      <w:outlineLvl w:val="3"/>
    </w:pPr>
    <w:rPr>
      <w:iCs/>
      <w:color w:val="000000"/>
    </w:rPr>
  </w:style>
  <w:style w:type="paragraph" w:styleId="Heading5">
    <w:name w:val="heading 5"/>
    <w:basedOn w:val="Normal"/>
    <w:next w:val="Normal"/>
    <w:pPr>
      <w:keepNext/>
      <w:jc w:val="both"/>
      <w:outlineLvl w:val="4"/>
    </w:pPr>
    <w:rPr>
      <w:rFonts w:ascii="Garamond" w:hAnsi="Garamond"/>
      <w:b/>
      <w:bCs/>
      <w:sz w:val="28"/>
    </w:rPr>
  </w:style>
  <w:style w:type="paragraph" w:styleId="Heading6">
    <w:name w:val="heading 6"/>
    <w:basedOn w:val="Normal"/>
    <w:next w:val="Normal"/>
    <w:pPr>
      <w:keepNext/>
      <w:jc w:val="center"/>
      <w:outlineLvl w:val="5"/>
    </w:pPr>
    <w:rPr>
      <w:b/>
      <w:bCs/>
      <w:sz w:val="28"/>
    </w:rPr>
  </w:style>
  <w:style w:type="paragraph" w:styleId="Heading7">
    <w:name w:val="heading 7"/>
    <w:basedOn w:val="Normal"/>
    <w:next w:val="Normal"/>
    <w:pPr>
      <w:keepNext/>
      <w:widowControl w:val="0"/>
      <w:tabs>
        <w:tab w:val="center" w:pos="7520"/>
      </w:tabs>
      <w:spacing w:before="250"/>
      <w:jc w:val="center"/>
      <w:outlineLvl w:val="6"/>
    </w:pPr>
    <w:rPr>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widowControl w:val="0"/>
      <w:tabs>
        <w:tab w:val="left" w:pos="-720"/>
      </w:tabs>
      <w:suppressAutoHyphens/>
      <w:spacing w:line="240" w:lineRule="atLeast"/>
    </w:pPr>
  </w:style>
  <w:style w:type="paragraph" w:styleId="BodyText3">
    <w:name w:val="Body Text 3"/>
    <w:basedOn w:val="Normal"/>
    <w:rPr>
      <w:sz w:val="20"/>
    </w:rPr>
  </w:style>
  <w:style w:type="paragraph" w:styleId="Subtitle">
    <w:name w:val="Subtitle"/>
    <w:basedOn w:val="Normal"/>
    <w:pPr>
      <w:jc w:val="center"/>
    </w:pPr>
    <w:rPr>
      <w:b/>
      <w:bCs/>
      <w:sz w:val="32"/>
    </w:rPr>
  </w:style>
  <w:style w:type="character" w:styleId="Hyperlink">
    <w:name w:val="Hyperlink"/>
    <w:uiPriority w:val="99"/>
    <w:rPr>
      <w:color w:val="0000FF"/>
      <w:u w:val="single"/>
    </w:rPr>
  </w:style>
  <w:style w:type="table" w:styleId="TableGrid">
    <w:name w:val="Table Grid"/>
    <w:basedOn w:val="TableNormal"/>
    <w:rsid w:val="00A95B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ipbodytextChar">
    <w:name w:val="Trip body text Char"/>
    <w:rsid w:val="00C8433C"/>
    <w:rPr>
      <w:rFonts w:ascii="Garamond" w:hAnsi="Garamond" w:cs="Arial"/>
      <w:bCs/>
      <w:sz w:val="22"/>
      <w:szCs w:val="24"/>
      <w:lang w:val="en-US" w:eastAsia="en-US" w:bidi="ar-SA"/>
    </w:rPr>
  </w:style>
  <w:style w:type="paragraph" w:customStyle="1" w:styleId="Tripbulletedlist">
    <w:name w:val="Trip bulleted list"/>
    <w:basedOn w:val="Normal"/>
    <w:rsid w:val="00C8433C"/>
    <w:pPr>
      <w:numPr>
        <w:numId w:val="1"/>
      </w:numPr>
      <w:spacing w:after="180"/>
    </w:pPr>
    <w:rPr>
      <w:rFonts w:ascii="Garamond" w:hAnsi="Garamond"/>
      <w:bCs/>
      <w:sz w:val="22"/>
    </w:rPr>
  </w:style>
  <w:style w:type="paragraph" w:customStyle="1" w:styleId="1Char">
    <w:name w:val="1 Char"/>
    <w:basedOn w:val="Normal"/>
    <w:next w:val="Normal"/>
    <w:rsid w:val="00805161"/>
    <w:pPr>
      <w:spacing w:after="160" w:line="240" w:lineRule="exact"/>
    </w:pPr>
    <w:rPr>
      <w:rFonts w:ascii="Tahoma" w:hAnsi="Tahoma"/>
      <w:szCs w:val="20"/>
    </w:rPr>
  </w:style>
  <w:style w:type="paragraph" w:styleId="NormalWeb">
    <w:name w:val="Normal (Web)"/>
    <w:basedOn w:val="Normal"/>
    <w:rsid w:val="00805161"/>
    <w:pPr>
      <w:spacing w:before="100" w:beforeAutospacing="1" w:after="100" w:afterAutospacing="1"/>
    </w:pPr>
    <w:rPr>
      <w:rFonts w:eastAsia="SimSun"/>
      <w:color w:val="000000"/>
      <w:lang w:eastAsia="zh-CN"/>
    </w:rPr>
  </w:style>
  <w:style w:type="paragraph" w:customStyle="1" w:styleId="CarCar">
    <w:name w:val="Car Car"/>
    <w:basedOn w:val="Normal"/>
    <w:next w:val="Normal"/>
    <w:rsid w:val="00805161"/>
    <w:pPr>
      <w:spacing w:after="160" w:line="240" w:lineRule="exact"/>
    </w:pPr>
    <w:rPr>
      <w:rFonts w:ascii="Tahoma" w:hAnsi="Tahoma"/>
      <w:szCs w:val="20"/>
    </w:rPr>
  </w:style>
  <w:style w:type="paragraph" w:styleId="PlainText">
    <w:name w:val="Plain Text"/>
    <w:basedOn w:val="Normal"/>
    <w:rsid w:val="00805161"/>
    <w:pPr>
      <w:spacing w:after="140" w:line="280" w:lineRule="exact"/>
    </w:pPr>
    <w:rPr>
      <w:rFonts w:ascii="Courier" w:eastAsia="Times" w:hAnsi="Courier"/>
      <w:sz w:val="22"/>
      <w:szCs w:val="20"/>
    </w:rPr>
  </w:style>
  <w:style w:type="character" w:styleId="Emphasis">
    <w:name w:val="Emphasis"/>
    <w:rsid w:val="005C1EA9"/>
    <w:rPr>
      <w:i/>
      <w:iCs/>
    </w:rPr>
  </w:style>
  <w:style w:type="character" w:styleId="FollowedHyperlink">
    <w:name w:val="FollowedHyperlink"/>
    <w:rsid w:val="00250655"/>
    <w:rPr>
      <w:color w:val="800080"/>
      <w:u w:val="single"/>
    </w:rPr>
  </w:style>
  <w:style w:type="character" w:customStyle="1" w:styleId="FooterChar">
    <w:name w:val="Footer Char"/>
    <w:link w:val="Footer"/>
    <w:uiPriority w:val="99"/>
    <w:rsid w:val="005A3077"/>
    <w:rPr>
      <w:sz w:val="24"/>
      <w:szCs w:val="24"/>
    </w:rPr>
  </w:style>
  <w:style w:type="paragraph" w:customStyle="1" w:styleId="Title1">
    <w:name w:val="Title1"/>
    <w:basedOn w:val="Normal"/>
    <w:link w:val="titleChar"/>
    <w:rsid w:val="00C54097"/>
    <w:pPr>
      <w:pBdr>
        <w:bottom w:val="single" w:sz="4" w:space="1" w:color="auto"/>
      </w:pBdr>
      <w:jc w:val="both"/>
    </w:pPr>
    <w:rPr>
      <w:b/>
      <w:sz w:val="28"/>
      <w:szCs w:val="28"/>
    </w:rPr>
  </w:style>
  <w:style w:type="character" w:customStyle="1" w:styleId="titleChar">
    <w:name w:val="title Char"/>
    <w:link w:val="Title1"/>
    <w:rsid w:val="00C54097"/>
    <w:rPr>
      <w:rFonts w:ascii="Arial" w:hAnsi="Arial" w:cs="Arial"/>
      <w:b/>
      <w:sz w:val="28"/>
      <w:szCs w:val="28"/>
    </w:rPr>
  </w:style>
  <w:style w:type="paragraph" w:styleId="TOCHeading">
    <w:name w:val="TOC Heading"/>
    <w:basedOn w:val="Heading1"/>
    <w:next w:val="Normal"/>
    <w:uiPriority w:val="39"/>
    <w:semiHidden/>
    <w:unhideWhenUsed/>
    <w:qFormat/>
    <w:rsid w:val="00E61092"/>
    <w:pPr>
      <w:keepNext/>
      <w:keepLines/>
      <w:pBdr>
        <w:bottom w:val="none" w:sz="0" w:space="0" w:color="auto"/>
      </w:pBdr>
      <w:spacing w:before="480" w:line="276" w:lineRule="auto"/>
      <w:jc w:val="left"/>
      <w:outlineLvl w:val="9"/>
    </w:pPr>
    <w:rPr>
      <w:rFonts w:ascii="Cambria" w:eastAsia="MS Gothic" w:hAnsi="Cambria" w:cs="Times New Roman"/>
      <w:bCs/>
      <w:color w:val="365F91"/>
      <w:sz w:val="28"/>
      <w:lang w:eastAsia="ja-JP"/>
    </w:rPr>
  </w:style>
  <w:style w:type="paragraph" w:styleId="TOC1">
    <w:name w:val="toc 1"/>
    <w:basedOn w:val="Normal"/>
    <w:next w:val="Normal"/>
    <w:autoRedefine/>
    <w:uiPriority w:val="39"/>
    <w:rsid w:val="00E61092"/>
  </w:style>
  <w:style w:type="paragraph" w:styleId="TOC2">
    <w:name w:val="toc 2"/>
    <w:basedOn w:val="Normal"/>
    <w:next w:val="Normal"/>
    <w:autoRedefine/>
    <w:uiPriority w:val="39"/>
    <w:rsid w:val="00E61092"/>
    <w:pPr>
      <w:ind w:left="240"/>
    </w:pPr>
  </w:style>
  <w:style w:type="paragraph" w:styleId="TOC3">
    <w:name w:val="toc 3"/>
    <w:basedOn w:val="Normal"/>
    <w:next w:val="Normal"/>
    <w:autoRedefine/>
    <w:uiPriority w:val="39"/>
    <w:rsid w:val="00E61092"/>
    <w:pPr>
      <w:ind w:left="480"/>
    </w:pPr>
  </w:style>
  <w:style w:type="paragraph" w:styleId="FootnoteText">
    <w:name w:val="footnote text"/>
    <w:basedOn w:val="Normal"/>
    <w:link w:val="FootnoteTextChar"/>
    <w:rsid w:val="00E61092"/>
    <w:rPr>
      <w:sz w:val="20"/>
      <w:szCs w:val="20"/>
    </w:rPr>
  </w:style>
  <w:style w:type="paragraph" w:styleId="TOC4">
    <w:name w:val="toc 4"/>
    <w:basedOn w:val="Normal"/>
    <w:next w:val="Normal"/>
    <w:autoRedefine/>
    <w:rsid w:val="00E61092"/>
    <w:pPr>
      <w:ind w:left="720"/>
    </w:pPr>
  </w:style>
  <w:style w:type="paragraph" w:styleId="TOC5">
    <w:name w:val="toc 5"/>
    <w:basedOn w:val="Normal"/>
    <w:next w:val="Normal"/>
    <w:autoRedefine/>
    <w:rsid w:val="00E61092"/>
    <w:pPr>
      <w:ind w:left="960"/>
    </w:pPr>
  </w:style>
  <w:style w:type="character" w:customStyle="1" w:styleId="FootnoteTextChar">
    <w:name w:val="Footnote Text Char"/>
    <w:link w:val="FootnoteText"/>
    <w:rsid w:val="00E61092"/>
    <w:rPr>
      <w:rFonts w:ascii="Arial" w:hAnsi="Arial" w:cs="Arial"/>
    </w:rPr>
  </w:style>
  <w:style w:type="character" w:styleId="FootnoteReference">
    <w:name w:val="footnote reference"/>
    <w:rsid w:val="00E61092"/>
    <w:rPr>
      <w:vertAlign w:val="superscript"/>
    </w:rPr>
  </w:style>
  <w:style w:type="paragraph" w:customStyle="1" w:styleId="SATHFootnote">
    <w:name w:val="SATH Footnote"/>
    <w:basedOn w:val="FootnoteText"/>
    <w:link w:val="SATHFootnoteChar"/>
    <w:qFormat/>
    <w:rsid w:val="00E61092"/>
    <w:rPr>
      <w:rFonts w:ascii="Times New Roman" w:hAnsi="Times New Roman"/>
    </w:rPr>
  </w:style>
  <w:style w:type="paragraph" w:styleId="Title">
    <w:name w:val="Title"/>
    <w:aliases w:val="SATH Tables &amp; Figures"/>
    <w:basedOn w:val="Normal"/>
    <w:next w:val="Normal"/>
    <w:link w:val="TitleChar0"/>
    <w:qFormat/>
    <w:rsid w:val="00E61092"/>
    <w:pPr>
      <w:outlineLvl w:val="0"/>
    </w:pPr>
    <w:rPr>
      <w:rFonts w:cs="Times New Roman"/>
      <w:b/>
      <w:bCs/>
      <w:kern w:val="28"/>
      <w:szCs w:val="32"/>
    </w:rPr>
  </w:style>
  <w:style w:type="character" w:customStyle="1" w:styleId="SATHFootnoteChar">
    <w:name w:val="SATH Footnote Char"/>
    <w:basedOn w:val="FootnoteTextChar"/>
    <w:link w:val="SATHFootnote"/>
    <w:rsid w:val="00E61092"/>
    <w:rPr>
      <w:rFonts w:ascii="Arial" w:hAnsi="Arial" w:cs="Arial"/>
    </w:rPr>
  </w:style>
  <w:style w:type="character" w:customStyle="1" w:styleId="TitleChar0">
    <w:name w:val="Title Char"/>
    <w:aliases w:val="SATH Tables &amp; Figures Char"/>
    <w:link w:val="Title"/>
    <w:rsid w:val="00E61092"/>
    <w:rPr>
      <w:rFonts w:ascii="Arial" w:eastAsia="Times New Roman" w:hAnsi="Arial" w:cs="Times New Roman"/>
      <w:b/>
      <w:bCs/>
      <w:kern w:val="28"/>
      <w:sz w:val="24"/>
      <w:szCs w:val="32"/>
    </w:rPr>
  </w:style>
  <w:style w:type="paragraph" w:styleId="Quote">
    <w:name w:val="Quote"/>
    <w:basedOn w:val="Normal"/>
    <w:next w:val="Normal"/>
    <w:link w:val="QuoteChar"/>
    <w:uiPriority w:val="29"/>
    <w:qFormat/>
    <w:rsid w:val="00E61092"/>
    <w:rPr>
      <w:i/>
      <w:iCs/>
      <w:color w:val="000000"/>
    </w:rPr>
  </w:style>
  <w:style w:type="character" w:customStyle="1" w:styleId="QuoteChar">
    <w:name w:val="Quote Char"/>
    <w:link w:val="Quote"/>
    <w:uiPriority w:val="29"/>
    <w:rsid w:val="00E61092"/>
    <w:rPr>
      <w:rFonts w:ascii="Arial" w:hAnsi="Arial" w:cs="Arial"/>
      <w:i/>
      <w:iCs/>
      <w:color w:val="000000"/>
      <w:sz w:val="24"/>
      <w:szCs w:val="24"/>
    </w:rPr>
  </w:style>
  <w:style w:type="paragraph" w:customStyle="1" w:styleId="SATHSource">
    <w:name w:val="SATH Source"/>
    <w:basedOn w:val="Normal"/>
    <w:link w:val="SATHSourceChar"/>
    <w:qFormat/>
    <w:rsid w:val="00AE0019"/>
    <w:pPr>
      <w:spacing w:before="120"/>
    </w:pPr>
    <w:rPr>
      <w:sz w:val="20"/>
    </w:rPr>
  </w:style>
  <w:style w:type="paragraph" w:styleId="Caption">
    <w:name w:val="caption"/>
    <w:basedOn w:val="Normal"/>
    <w:next w:val="BodyText"/>
    <w:uiPriority w:val="99"/>
    <w:qFormat/>
    <w:rsid w:val="0095765D"/>
    <w:pPr>
      <w:keepNext/>
      <w:autoSpaceDE/>
      <w:autoSpaceDN/>
      <w:adjustRightInd/>
      <w:spacing w:before="360" w:line="360" w:lineRule="auto"/>
      <w:jc w:val="both"/>
    </w:pPr>
    <w:rPr>
      <w:rFonts w:ascii="Century Gothic" w:hAnsi="Century Gothic" w:cs="Times New Roman"/>
      <w:b/>
      <w:color w:val="000080"/>
      <w:sz w:val="20"/>
      <w:szCs w:val="20"/>
      <w:lang w:val="en-ZA"/>
    </w:rPr>
  </w:style>
  <w:style w:type="character" w:customStyle="1" w:styleId="SATHSourceChar">
    <w:name w:val="SATH Source Char"/>
    <w:link w:val="SATHSource"/>
    <w:rsid w:val="00AE0019"/>
    <w:rPr>
      <w:rFonts w:ascii="Arial" w:hAnsi="Arial" w:cs="Arial"/>
      <w:szCs w:val="24"/>
    </w:rPr>
  </w:style>
  <w:style w:type="paragraph" w:styleId="ListParagraph">
    <w:name w:val="List Paragraph"/>
    <w:basedOn w:val="Normal"/>
    <w:uiPriority w:val="34"/>
    <w:qFormat/>
    <w:rsid w:val="0095765D"/>
    <w:pPr>
      <w:autoSpaceDE/>
      <w:autoSpaceDN/>
      <w:adjustRightInd/>
      <w:spacing w:before="120" w:line="360" w:lineRule="auto"/>
      <w:ind w:left="720"/>
      <w:contextualSpacing/>
      <w:jc w:val="both"/>
    </w:pPr>
    <w:rPr>
      <w:rFonts w:cs="Times New Roman"/>
      <w:sz w:val="20"/>
      <w:lang w:val="en-ZA"/>
    </w:rPr>
  </w:style>
  <w:style w:type="character" w:customStyle="1" w:styleId="apple-converted-space">
    <w:name w:val="apple-converted-space"/>
    <w:basedOn w:val="DefaultParagraphFont"/>
    <w:rsid w:val="0095765D"/>
  </w:style>
  <w:style w:type="table" w:styleId="MediumList1-Accent1">
    <w:name w:val="Medium List 1 Accent 1"/>
    <w:basedOn w:val="TableNormal"/>
    <w:uiPriority w:val="65"/>
    <w:rsid w:val="0095765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alloonText">
    <w:name w:val="Balloon Text"/>
    <w:basedOn w:val="Normal"/>
    <w:link w:val="BalloonTextChar"/>
    <w:rsid w:val="0095765D"/>
    <w:pPr>
      <w:spacing w:after="0"/>
    </w:pPr>
    <w:rPr>
      <w:rFonts w:ascii="Tahoma" w:hAnsi="Tahoma" w:cs="Tahoma"/>
      <w:sz w:val="16"/>
      <w:szCs w:val="16"/>
    </w:rPr>
  </w:style>
  <w:style w:type="character" w:customStyle="1" w:styleId="BalloonTextChar">
    <w:name w:val="Balloon Text Char"/>
    <w:basedOn w:val="DefaultParagraphFont"/>
    <w:link w:val="BalloonText"/>
    <w:rsid w:val="0095765D"/>
    <w:rPr>
      <w:rFonts w:ascii="Tahoma" w:hAnsi="Tahoma" w:cs="Tahoma"/>
      <w:sz w:val="16"/>
      <w:szCs w:val="16"/>
    </w:rPr>
  </w:style>
  <w:style w:type="paragraph" w:customStyle="1" w:styleId="Default">
    <w:name w:val="Default"/>
    <w:rsid w:val="00F214AB"/>
    <w:pPr>
      <w:widowControl w:val="0"/>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5788">
      <w:bodyDiv w:val="1"/>
      <w:marLeft w:val="0"/>
      <w:marRight w:val="0"/>
      <w:marTop w:val="0"/>
      <w:marBottom w:val="0"/>
      <w:divBdr>
        <w:top w:val="none" w:sz="0" w:space="0" w:color="auto"/>
        <w:left w:val="none" w:sz="0" w:space="0" w:color="auto"/>
        <w:bottom w:val="none" w:sz="0" w:space="0" w:color="auto"/>
        <w:right w:val="none" w:sz="0" w:space="0" w:color="auto"/>
      </w:divBdr>
    </w:div>
    <w:div w:id="1453209149">
      <w:bodyDiv w:val="1"/>
      <w:marLeft w:val="0"/>
      <w:marRight w:val="0"/>
      <w:marTop w:val="0"/>
      <w:marBottom w:val="0"/>
      <w:divBdr>
        <w:top w:val="none" w:sz="0" w:space="0" w:color="auto"/>
        <w:left w:val="none" w:sz="0" w:space="0" w:color="auto"/>
        <w:bottom w:val="none" w:sz="0" w:space="0" w:color="auto"/>
        <w:right w:val="none" w:sz="0" w:space="0" w:color="auto"/>
      </w:divBdr>
    </w:div>
    <w:div w:id="2073428423">
      <w:bodyDiv w:val="1"/>
      <w:marLeft w:val="0"/>
      <w:marRight w:val="0"/>
      <w:marTop w:val="0"/>
      <w:marBottom w:val="0"/>
      <w:divBdr>
        <w:top w:val="none" w:sz="0" w:space="0" w:color="auto"/>
        <w:left w:val="none" w:sz="0" w:space="0" w:color="auto"/>
        <w:bottom w:val="none" w:sz="0" w:space="0" w:color="auto"/>
        <w:right w:val="none" w:sz="0" w:space="0" w:color="auto"/>
      </w:divBdr>
    </w:div>
    <w:div w:id="214704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eader" Target="header2.xml"/><Relationship Id="rId38" Type="http://schemas.openxmlformats.org/officeDocument/2006/relationships/footer" Target="footer3.xml"/><Relationship Id="rId39" Type="http://schemas.openxmlformats.org/officeDocument/2006/relationships/footer" Target="footer4.xml"/><Relationship Id="rId40" Type="http://schemas.openxmlformats.org/officeDocument/2006/relationships/fontTable" Target="fontTable.xml"/><Relationship Id="rId4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satradehub.org" TargetMode="External"/><Relationship Id="rId2" Type="http://schemas.openxmlformats.org/officeDocument/2006/relationships/hyperlink" Target="http://www.satradehub.org" TargetMode="External"/><Relationship Id="rId3"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8A373-DC04-734E-8755-C55F3A6E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4529</Words>
  <Characters>25820</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chemonics</Company>
  <LinksUpToDate>false</LinksUpToDate>
  <CharactersWithSpaces>30289</CharactersWithSpaces>
  <SharedDoc>false</SharedDoc>
  <HLinks>
    <vt:vector size="72" baseType="variant">
      <vt:variant>
        <vt:i4>1114168</vt:i4>
      </vt:variant>
      <vt:variant>
        <vt:i4>44</vt:i4>
      </vt:variant>
      <vt:variant>
        <vt:i4>0</vt:i4>
      </vt:variant>
      <vt:variant>
        <vt:i4>5</vt:i4>
      </vt:variant>
      <vt:variant>
        <vt:lpwstr/>
      </vt:variant>
      <vt:variant>
        <vt:lpwstr>_Toc305681610</vt:lpwstr>
      </vt:variant>
      <vt:variant>
        <vt:i4>1048632</vt:i4>
      </vt:variant>
      <vt:variant>
        <vt:i4>38</vt:i4>
      </vt:variant>
      <vt:variant>
        <vt:i4>0</vt:i4>
      </vt:variant>
      <vt:variant>
        <vt:i4>5</vt:i4>
      </vt:variant>
      <vt:variant>
        <vt:lpwstr/>
      </vt:variant>
      <vt:variant>
        <vt:lpwstr>_Toc305681609</vt:lpwstr>
      </vt:variant>
      <vt:variant>
        <vt:i4>1048632</vt:i4>
      </vt:variant>
      <vt:variant>
        <vt:i4>32</vt:i4>
      </vt:variant>
      <vt:variant>
        <vt:i4>0</vt:i4>
      </vt:variant>
      <vt:variant>
        <vt:i4>5</vt:i4>
      </vt:variant>
      <vt:variant>
        <vt:lpwstr/>
      </vt:variant>
      <vt:variant>
        <vt:lpwstr>_Toc305681608</vt:lpwstr>
      </vt:variant>
      <vt:variant>
        <vt:i4>1048632</vt:i4>
      </vt:variant>
      <vt:variant>
        <vt:i4>26</vt:i4>
      </vt:variant>
      <vt:variant>
        <vt:i4>0</vt:i4>
      </vt:variant>
      <vt:variant>
        <vt:i4>5</vt:i4>
      </vt:variant>
      <vt:variant>
        <vt:lpwstr/>
      </vt:variant>
      <vt:variant>
        <vt:lpwstr>_Toc305681607</vt:lpwstr>
      </vt:variant>
      <vt:variant>
        <vt:i4>1048632</vt:i4>
      </vt:variant>
      <vt:variant>
        <vt:i4>20</vt:i4>
      </vt:variant>
      <vt:variant>
        <vt:i4>0</vt:i4>
      </vt:variant>
      <vt:variant>
        <vt:i4>5</vt:i4>
      </vt:variant>
      <vt:variant>
        <vt:lpwstr/>
      </vt:variant>
      <vt:variant>
        <vt:lpwstr>_Toc305681606</vt:lpwstr>
      </vt:variant>
      <vt:variant>
        <vt:i4>1048632</vt:i4>
      </vt:variant>
      <vt:variant>
        <vt:i4>14</vt:i4>
      </vt:variant>
      <vt:variant>
        <vt:i4>0</vt:i4>
      </vt:variant>
      <vt:variant>
        <vt:i4>5</vt:i4>
      </vt:variant>
      <vt:variant>
        <vt:lpwstr/>
      </vt:variant>
      <vt:variant>
        <vt:lpwstr>_Toc305681605</vt:lpwstr>
      </vt:variant>
      <vt:variant>
        <vt:i4>1048632</vt:i4>
      </vt:variant>
      <vt:variant>
        <vt:i4>8</vt:i4>
      </vt:variant>
      <vt:variant>
        <vt:i4>0</vt:i4>
      </vt:variant>
      <vt:variant>
        <vt:i4>5</vt:i4>
      </vt:variant>
      <vt:variant>
        <vt:lpwstr/>
      </vt:variant>
      <vt:variant>
        <vt:lpwstr>_Toc305681604</vt:lpwstr>
      </vt:variant>
      <vt:variant>
        <vt:i4>1048632</vt:i4>
      </vt:variant>
      <vt:variant>
        <vt:i4>2</vt:i4>
      </vt:variant>
      <vt:variant>
        <vt:i4>0</vt:i4>
      </vt:variant>
      <vt:variant>
        <vt:i4>5</vt:i4>
      </vt:variant>
      <vt:variant>
        <vt:lpwstr/>
      </vt:variant>
      <vt:variant>
        <vt:lpwstr>_Toc305681603</vt:lpwstr>
      </vt:variant>
      <vt:variant>
        <vt:i4>3014693</vt:i4>
      </vt:variant>
      <vt:variant>
        <vt:i4>14</vt:i4>
      </vt:variant>
      <vt:variant>
        <vt:i4>0</vt:i4>
      </vt:variant>
      <vt:variant>
        <vt:i4>5</vt:i4>
      </vt:variant>
      <vt:variant>
        <vt:lpwstr>http://www.satradehub.org/</vt:lpwstr>
      </vt:variant>
      <vt:variant>
        <vt:lpwstr/>
      </vt:variant>
      <vt:variant>
        <vt:i4>5767265</vt:i4>
      </vt:variant>
      <vt:variant>
        <vt:i4>11</vt:i4>
      </vt:variant>
      <vt:variant>
        <vt:i4>0</vt:i4>
      </vt:variant>
      <vt:variant>
        <vt:i4>5</vt:i4>
      </vt:variant>
      <vt:variant>
        <vt:lpwstr>mailto:info@satradehub.org</vt:lpwstr>
      </vt:variant>
      <vt:variant>
        <vt:lpwstr/>
      </vt:variant>
      <vt:variant>
        <vt:i4>3014693</vt:i4>
      </vt:variant>
      <vt:variant>
        <vt:i4>5</vt:i4>
      </vt:variant>
      <vt:variant>
        <vt:i4>0</vt:i4>
      </vt:variant>
      <vt:variant>
        <vt:i4>5</vt:i4>
      </vt:variant>
      <vt:variant>
        <vt:lpwstr>http://www.satradehub.org/</vt:lpwstr>
      </vt:variant>
      <vt:variant>
        <vt:lpwstr/>
      </vt:variant>
      <vt:variant>
        <vt:i4>5767265</vt:i4>
      </vt:variant>
      <vt:variant>
        <vt:i4>2</vt:i4>
      </vt:variant>
      <vt:variant>
        <vt:i4>0</vt:i4>
      </vt:variant>
      <vt:variant>
        <vt:i4>5</vt:i4>
      </vt:variant>
      <vt:variant>
        <vt:lpwstr>mailto:info@satradehub.org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Southern Africa Trade Hub</dc:creator>
  <cp:lastModifiedBy>RERA Secretariat</cp:lastModifiedBy>
  <cp:revision>2</cp:revision>
  <cp:lastPrinted>2009-02-19T12:55:00Z</cp:lastPrinted>
  <dcterms:created xsi:type="dcterms:W3CDTF">2014-12-04T17:29:00Z</dcterms:created>
  <dcterms:modified xsi:type="dcterms:W3CDTF">2014-12-04T17:29:00Z</dcterms:modified>
</cp:coreProperties>
</file>